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5" w:name="_GoBack"/>
      <w:bookmarkEnd w:id="5"/>
      <w:r>
        <w:rPr>
          <w:rFonts w:hint="eastAsia"/>
          <w:lang/>
        </w:rPr>
        <mc:AlternateContent>
          <mc:Choice Requires="wps">
            <w:drawing>
              <wp:anchor distT="0" distB="0" distL="114300" distR="114300" simplePos="0" relativeHeight="251663360" behindDoc="0" locked="0" layoutInCell="1" allowOverlap="1">
                <wp:simplePos x="0" y="0"/>
                <wp:positionH relativeFrom="column">
                  <wp:posOffset>508635</wp:posOffset>
                </wp:positionH>
                <wp:positionV relativeFrom="paragraph">
                  <wp:posOffset>-396240</wp:posOffset>
                </wp:positionV>
                <wp:extent cx="7835900" cy="515620"/>
                <wp:effectExtent l="0" t="0" r="0" b="0"/>
                <wp:wrapNone/>
                <wp:docPr id="67" name="Text Box 2"/>
                <wp:cNvGraphicFramePr/>
                <a:graphic xmlns:a="http://schemas.openxmlformats.org/drawingml/2006/main">
                  <a:graphicData uri="http://schemas.microsoft.com/office/word/2010/wordprocessingShape">
                    <wps:wsp>
                      <wps:cNvSpPr txBox="1"/>
                      <wps:spPr>
                        <a:xfrm>
                          <a:off x="0" y="0"/>
                          <a:ext cx="7835900" cy="515620"/>
                        </a:xfrm>
                        <a:prstGeom prst="rect">
                          <a:avLst/>
                        </a:prstGeom>
                        <a:noFill/>
                        <a:ln w="9525">
                          <a:noFill/>
                        </a:ln>
                      </wps:spPr>
                      <wps:txbx>
                        <w:txbxContent>
                          <w:p>
                            <w:pPr>
                              <w:rPr>
                                <w:rFonts w:hint="eastAsia" w:ascii="黑体" w:eastAsia="黑体"/>
                                <w:b/>
                                <w:i/>
                                <w:sz w:val="28"/>
                                <w:szCs w:val="28"/>
                              </w:rPr>
                            </w:pPr>
                            <w:r>
                              <w:rPr>
                                <w:rFonts w:hint="eastAsia" w:ascii="黑体" w:eastAsia="黑体"/>
                                <w:b/>
                                <w:i/>
                                <w:color w:val="FFFFFF"/>
                                <w:sz w:val="28"/>
                                <w:szCs w:val="28"/>
                              </w:rPr>
                              <w:t>遵义医学院医学与科技学院20</w:t>
                            </w:r>
                            <w:r>
                              <w:rPr>
                                <w:rFonts w:hint="eastAsia" w:ascii="黑体" w:eastAsia="黑体"/>
                                <w:b/>
                                <w:i/>
                                <w:color w:val="FFFFFF"/>
                                <w:sz w:val="28"/>
                                <w:szCs w:val="28"/>
                                <w:lang w:val="en-US" w:eastAsia="zh-CN"/>
                              </w:rPr>
                              <w:t>17-2018学年</w:t>
                            </w:r>
                            <w:r>
                              <w:rPr>
                                <w:rFonts w:hint="eastAsia" w:ascii="黑体" w:eastAsia="黑体"/>
                                <w:b/>
                                <w:i/>
                                <w:color w:val="FFFFFF"/>
                                <w:sz w:val="28"/>
                                <w:szCs w:val="28"/>
                              </w:rPr>
                              <w:t>本科教学质量报告</w:t>
                            </w:r>
                          </w:p>
                        </w:txbxContent>
                      </wps:txbx>
                      <wps:bodyPr wrap="square" upright="1"/>
                    </wps:wsp>
                  </a:graphicData>
                </a:graphic>
              </wp:anchor>
            </w:drawing>
          </mc:Choice>
          <mc:Fallback>
            <w:pict>
              <v:shape id="Text Box 2" o:spid="_x0000_s1026" o:spt="202" type="#_x0000_t202" style="position:absolute;left:0pt;margin-left:40.05pt;margin-top:-31.2pt;height:40.6pt;width:617pt;z-index:251663360;mso-width-relative:page;mso-height-relative:page;" filled="f" stroked="f" coordsize="21600,21600" o:gfxdata="UEsDBAoAAAAAAIdO4kAAAAAAAAAAAAAAAAAEAAAAZHJzL1BLAwQUAAAACACHTuJArQmb39cAAAAK&#10;AQAADwAAAGRycy9kb3ducmV2LnhtbE2Py27CMBBF95X4B2uQugM7NEVpGocFqNui0ofUnYmHJGo8&#10;jmJDwt93WLW7eRzdOVNsJteJCw6h9aQhWSoQSJW3LdUaPt5fFhmIEA1Z03lCDVcMsClnd4XJrR/p&#10;DS+HWAsOoZAbDU2MfS5lqBp0Jix9j8S7kx+cidwOtbSDGTncdXKl1Fo60xJfaEyP2warn8PZafh8&#10;PX1/pWpf79xjP/pJSXJPUuv7eaKeQUSc4h8MN31Wh5Kdjv5MNohOQ6YSJjUs1qsUxA14SFIeHbnK&#10;MpBlIf+/UP4CUEsDBBQAAAAIAIdO4kCRUWHIlQEAABcDAAAOAAAAZHJzL2Uyb0RvYy54bWytUttu&#10;EzEQfUfiHyy/k90s2rRdxamEqvKCAKnlAxyvnbXkGzNOdvP3jN00RfCGeBnbczkz54y394t37KQB&#10;bQyCr1ctZzqoONpwEPzH8+OHW84wyzBKF4MW/KyR3+/ev9vOadBdnKIbNTACCTjMSfAp5zQ0DapJ&#10;e4mrmHSgoIngZaYnHJoR5Ezo3jVd226aOcKYICqNSN6HlyDfVXxjtMrfjEGdmROcZsvVQrX7Ypvd&#10;Vg4HkGmy6jKG/IcpvLSBml6hHmSW7Aj2LyhvFUSMJq9U9E00xipdORCbdfsHm6dJJl25kDiYrjLh&#10;/4NVX0/fgdlR8M0NZ0F62tGzXjL7FBfWFXnmhANlPSXKywu5ac2vfiRnYb0Y8OUkPoziJPT5Km4B&#10;U+S8uf3Y37UUUhTr1/2mq+o3b9UJMH/W0bNyERxoeVVTefqCmSah1NeU0izER+tcXaALbBb8ru/6&#10;WnCNUIULVFg4vMxabnnZLxdi+zieiddMH0Bw/HmUoDk7JrCHiSaoPGsxqV/7X35KWe/v79ri7T/v&#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tCZvf1wAAAAoBAAAPAAAAAAAAAAEAIAAAACIAAABk&#10;cnMvZG93bnJldi54bWxQSwECFAAUAAAACACHTuJAkVFhyJUBAAAXAwAADgAAAAAAAAABACAAAAAm&#10;AQAAZHJzL2Uyb0RvYy54bWxQSwUGAAAAAAYABgBZAQAALQUAAAAA&#10;">
                <v:fill on="f" focussize="0,0"/>
                <v:stroke on="f"/>
                <v:imagedata o:title=""/>
                <o:lock v:ext="edit" aspectratio="f"/>
                <v:textbox>
                  <w:txbxContent>
                    <w:p>
                      <w:pPr>
                        <w:rPr>
                          <w:rFonts w:hint="eastAsia" w:ascii="黑体" w:eastAsia="黑体"/>
                          <w:b/>
                          <w:i/>
                          <w:sz w:val="28"/>
                          <w:szCs w:val="28"/>
                        </w:rPr>
                      </w:pPr>
                      <w:r>
                        <w:rPr>
                          <w:rFonts w:hint="eastAsia" w:ascii="黑体" w:eastAsia="黑体"/>
                          <w:b/>
                          <w:i/>
                          <w:color w:val="FFFFFF"/>
                          <w:sz w:val="28"/>
                          <w:szCs w:val="28"/>
                        </w:rPr>
                        <w:t>遵义医学院医学与科技学院20</w:t>
                      </w:r>
                      <w:r>
                        <w:rPr>
                          <w:rFonts w:hint="eastAsia" w:ascii="黑体" w:eastAsia="黑体"/>
                          <w:b/>
                          <w:i/>
                          <w:color w:val="FFFFFF"/>
                          <w:sz w:val="28"/>
                          <w:szCs w:val="28"/>
                          <w:lang w:val="en-US" w:eastAsia="zh-CN"/>
                        </w:rPr>
                        <w:t>17-2018学年</w:t>
                      </w:r>
                      <w:r>
                        <w:rPr>
                          <w:rFonts w:hint="eastAsia" w:ascii="黑体" w:eastAsia="黑体"/>
                          <w:b/>
                          <w:i/>
                          <w:color w:val="FFFFFF"/>
                          <w:sz w:val="28"/>
                          <w:szCs w:val="28"/>
                        </w:rPr>
                        <w:t>本科教学质量报告</w:t>
                      </w:r>
                    </w:p>
                  </w:txbxContent>
                </v:textbox>
              </v:shape>
            </w:pict>
          </mc:Fallback>
        </mc:AlternateContent>
      </w:r>
      <w:r>
        <w:rPr>
          <w:rFonts w:hint="eastAsia"/>
          <w:lang/>
        </w:rPr>
        <mc:AlternateContent>
          <mc:Choice Requires="wps">
            <w:drawing>
              <wp:anchor distT="0" distB="0" distL="114300" distR="114300" simplePos="0" relativeHeight="251658240" behindDoc="1" locked="0" layoutInCell="1" allowOverlap="1">
                <wp:simplePos x="0" y="0"/>
                <wp:positionH relativeFrom="page">
                  <wp:posOffset>0</wp:posOffset>
                </wp:positionH>
                <wp:positionV relativeFrom="page">
                  <wp:posOffset>518160</wp:posOffset>
                </wp:positionV>
                <wp:extent cx="7712710" cy="457200"/>
                <wp:effectExtent l="0" t="0" r="2540" b="0"/>
                <wp:wrapNone/>
                <wp:docPr id="1" name="未知"/>
                <wp:cNvGraphicFramePr/>
                <a:graphic xmlns:a="http://schemas.openxmlformats.org/drawingml/2006/main">
                  <a:graphicData uri="http://schemas.microsoft.com/office/word/2010/wordprocessingShape">
                    <wps:wsp>
                      <wps:cNvSpPr/>
                      <wps:spPr>
                        <a:xfrm>
                          <a:off x="0" y="0"/>
                          <a:ext cx="7712710" cy="457200"/>
                        </a:xfrm>
                        <a:custGeom>
                          <a:avLst/>
                          <a:gdLst/>
                          <a:ahLst/>
                          <a:cxnLst/>
                          <a:pathLst>
                            <a:path w="11906" h="720">
                              <a:moveTo>
                                <a:pt x="0" y="0"/>
                              </a:moveTo>
                              <a:lnTo>
                                <a:pt x="11906" y="0"/>
                              </a:lnTo>
                              <a:lnTo>
                                <a:pt x="11906" y="720"/>
                              </a:lnTo>
                              <a:lnTo>
                                <a:pt x="0" y="720"/>
                              </a:lnTo>
                              <a:lnTo>
                                <a:pt x="0" y="0"/>
                              </a:lnTo>
                              <a:close/>
                            </a:path>
                          </a:pathLst>
                        </a:custGeom>
                        <a:solidFill>
                          <a:srgbClr val="2056AE">
                            <a:alpha val="100000"/>
                          </a:srgbClr>
                        </a:solidFill>
                        <a:ln w="9525">
                          <a:noFill/>
                        </a:ln>
                      </wps:spPr>
                      <wps:bodyPr wrap="square" upright="1"/>
                    </wps:wsp>
                  </a:graphicData>
                </a:graphic>
              </wp:anchor>
            </w:drawing>
          </mc:Choice>
          <mc:Fallback>
            <w:pict>
              <v:shape id="未知" o:spid="_x0000_s1026" o:spt="100" style="position:absolute;left:0pt;margin-left:0pt;margin-top:40.8pt;height:36pt;width:607.3pt;mso-position-horizontal-relative:page;mso-position-vertical-relative:page;z-index:-251658240;mso-width-relative:page;mso-height-relative:page;" fillcolor="#2056AE" filled="t" stroked="f" coordsize="11906,720" o:gfxdata="UEsDBAoAAAAAAIdO4kAAAAAAAAAAAAAAAAAEAAAAZHJzL1BLAwQUAAAACACHTuJAd5NZfdcAAAAI&#10;AQAADwAAAGRycy9kb3ducmV2LnhtbE2PT0vDQBDF74LfYRnBm91No6HEbAoKBaGCWMXS2yQZk9Ds&#10;bMhu//jtnZ709ob3ePN7xfLsBnWkKfSeLSQzA4q49k3PrYXPj9XdAlSIyA0OnsnCDwVYltdXBeaN&#10;P/E7HTexVVLCIUcLXYxjrnWoO3IYZn4kFu/bTw6jnFOrmwlPUu4GPTcm0w57lg8djvTcUb3fHJyF&#10;lzb4t9Vr2n9tn3ZVymG9N7i29vYmMY+gIp3jXxgu+IIOpTBV/sBNUIMFGRItLJIM1MWdJ/eiKlEP&#10;aQa6LPT/AeUvUEsDBBQAAAAIAIdO4kD30f4JBwIAAGMEAAAOAAAAZHJzL2Uyb0RvYy54bWytVM2O&#10;0zAQviPxDpbvND+iLRs1XSGW5YJgpV0ewHWcxJLjMbabtO+CxIkLDwavwdhJ2lIuCNGDPfZ8+Wa+&#10;mXE3t4dOkV5YJ0GXNFuklAjNoZK6Kemnp/sXryhxnumKKdCipEfh6O32+bPNYAqRQwuqEpYgiXbF&#10;YEraem+KJHG8FR1zCzBCo7MG2zGPR9sklWUDsncqydN0lQxgK2OBC+fw9m500m3kr2vB/ce6dsIT&#10;VVLMzcfVxnUX1mS7YUVjmWkln9Jg/5BFx6TGoCeqO+YZ2Vv5B1UnuQUHtV9w6BKoa8lF1IBqsvRK&#10;zWPLjIhasDjOnMrk/h8t/9A/WCIr7B0lmnXYoh9fvv/8+i1UZjCuQMCjebDTyaEZZB5q24UdBZBD&#10;rObxVE1x8ITj5Xqd5esMi87R93K5xnYF0uT8Nd87/05AZGL9e+fHblSzxdrZ4gc9m4b5cB2iB5MM&#10;mHp2k64oaTFmnsY2dNCLJ4gYf5Ugxj97lb5ETTyzFETO/nk3ke2MC/FGTTNi3kckqke2v0NdM3EF&#10;TozkQWis3Ek85nZZPQdKVvdSqSDZ2Wb3RlnSMxz6PF2uXr+NRWHKtGy8zdLwm1Kf8DHAb0RKh+re&#10;LPNl/F5DiDDLRXiYj3EigrWD6oizNOBjKqn7vGdWULI3VjYtPrssBgs4nOQYanp14alcniPv+b9h&#10;+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3k1l91wAAAAgBAAAPAAAAAAAAAAEAIAAAACIAAABk&#10;cnMvZG93bnJldi54bWxQSwECFAAUAAAACACHTuJA99H+CQcCAABjBAAADgAAAAAAAAABACAAAAAm&#10;AQAAZHJzL2Uyb0RvYy54bWxQSwUGAAAAAAYABgBZAQAAnwUAAAAA&#10;" path="m0,0l11906,0,11906,720,0,720,0,0xe">
                <v:fill on="t" focussize="0,0"/>
                <v:stroke on="f"/>
                <v:imagedata o:title=""/>
                <o:lock v:ext="edit" aspectratio="f"/>
              </v:shape>
            </w:pict>
          </mc:Fallback>
        </mc:AlternateContent>
      </w:r>
    </w:p>
    <w:p>
      <w:pPr>
        <w:rPr>
          <w:rFonts w:hint="eastAsia"/>
          <w:color w:val="FF0000"/>
        </w:rPr>
      </w:pPr>
    </w:p>
    <w:p>
      <w:pPr>
        <w:rPr>
          <w:rFonts w:hint="eastAsia"/>
          <w:color w:val="FF0000"/>
        </w:rPr>
      </w:pPr>
    </w:p>
    <w:p>
      <w:pPr>
        <w:autoSpaceDE w:val="0"/>
        <w:autoSpaceDN w:val="0"/>
        <w:adjustRightInd w:val="0"/>
        <w:spacing w:line="801" w:lineRule="exact"/>
        <w:jc w:val="center"/>
        <w:rPr>
          <w:rFonts w:hint="eastAsia" w:cs="Segoe UI"/>
          <w:color w:val="2056AE"/>
          <w:kern w:val="0"/>
          <w:sz w:val="56"/>
          <w:szCs w:val="56"/>
        </w:rPr>
      </w:pPr>
      <w:r>
        <w:rPr>
          <w:rFonts w:hint="eastAsia" w:cs="Segoe UI"/>
          <w:color w:val="2056AE"/>
          <w:kern w:val="0"/>
          <w:sz w:val="56"/>
          <w:szCs w:val="56"/>
        </w:rPr>
        <w:t>目  录</w:t>
      </w:r>
    </w:p>
    <w:p>
      <w:pPr>
        <w:spacing w:line="360" w:lineRule="auto"/>
        <w:rPr>
          <w:rFonts w:hint="eastAsia" w:cs="Segoe UI"/>
          <w:color w:val="2056AE"/>
          <w:kern w:val="0"/>
          <w:sz w:val="28"/>
          <w:szCs w:val="28"/>
        </w:rPr>
      </w:pPr>
    </w:p>
    <w:p>
      <w:pPr>
        <w:spacing w:line="360" w:lineRule="auto"/>
        <w:jc w:val="left"/>
        <w:rPr>
          <w:rFonts w:hint="eastAsia"/>
          <w:color w:val="3366FF"/>
          <w:sz w:val="28"/>
          <w:szCs w:val="28"/>
        </w:rPr>
      </w:pPr>
      <w:r>
        <w:rPr>
          <w:rFonts w:hint="eastAsia" w:hAnsi="宋体"/>
          <w:color w:val="3366FF"/>
          <w:sz w:val="28"/>
          <w:szCs w:val="28"/>
        </w:rPr>
        <w:t>序言</w:t>
      </w:r>
      <w:r>
        <w:rPr>
          <w:rFonts w:hint="eastAsia"/>
          <w:color w:val="3366FF"/>
          <w:sz w:val="28"/>
          <w:szCs w:val="28"/>
        </w:rPr>
        <w:t>…………………………………………………………………… 03</w:t>
      </w:r>
    </w:p>
    <w:p>
      <w:pPr>
        <w:spacing w:line="360" w:lineRule="auto"/>
        <w:rPr>
          <w:rFonts w:hint="eastAsia"/>
          <w:sz w:val="22"/>
          <w:szCs w:val="22"/>
        </w:rPr>
      </w:pPr>
    </w:p>
    <w:p>
      <w:pPr>
        <w:spacing w:line="360" w:lineRule="auto"/>
        <w:rPr>
          <w:rFonts w:hint="eastAsia"/>
          <w:color w:val="3366FF"/>
          <w:sz w:val="28"/>
          <w:szCs w:val="28"/>
        </w:rPr>
      </w:pPr>
      <w:r>
        <w:rPr>
          <w:rFonts w:hint="eastAsia" w:hAnsi="宋体"/>
          <w:color w:val="3366FF"/>
          <w:sz w:val="28"/>
          <w:szCs w:val="28"/>
        </w:rPr>
        <w:t>一、本科教育基本情况</w:t>
      </w:r>
    </w:p>
    <w:p>
      <w:pPr>
        <w:spacing w:line="360" w:lineRule="auto"/>
        <w:rPr>
          <w:rFonts w:hint="eastAsia" w:eastAsia="宋体"/>
          <w:color w:val="000000"/>
          <w:sz w:val="22"/>
          <w:szCs w:val="22"/>
          <w:lang w:eastAsia="zh-CN"/>
        </w:rPr>
      </w:pPr>
      <w:r>
        <w:rPr>
          <w:rFonts w:hint="eastAsia"/>
          <w:color w:val="000000"/>
          <w:sz w:val="22"/>
          <w:szCs w:val="22"/>
        </w:rPr>
        <w:t>1.</w:t>
      </w:r>
      <w:r>
        <w:rPr>
          <w:rFonts w:hint="eastAsia" w:hAnsi="宋体"/>
          <w:color w:val="000000"/>
          <w:sz w:val="22"/>
          <w:szCs w:val="22"/>
        </w:rPr>
        <w:t>办学定位</w:t>
      </w:r>
      <w:r>
        <w:rPr>
          <w:rFonts w:hint="eastAsia"/>
          <w:color w:val="000000"/>
          <w:sz w:val="22"/>
          <w:szCs w:val="22"/>
        </w:rPr>
        <w:t>………………………………………………………………………………… 0</w:t>
      </w:r>
      <w:r>
        <w:rPr>
          <w:rFonts w:hint="eastAsia"/>
          <w:color w:val="000000"/>
          <w:sz w:val="22"/>
          <w:szCs w:val="22"/>
          <w:lang w:val="en-US" w:eastAsia="zh-CN"/>
        </w:rPr>
        <w:t>4</w:t>
      </w:r>
    </w:p>
    <w:p>
      <w:pPr>
        <w:spacing w:line="360" w:lineRule="auto"/>
        <w:rPr>
          <w:rFonts w:hint="eastAsia"/>
          <w:color w:val="000000"/>
          <w:sz w:val="22"/>
          <w:szCs w:val="22"/>
        </w:rPr>
      </w:pPr>
      <w:r>
        <w:rPr>
          <w:rFonts w:hint="eastAsia"/>
          <w:color w:val="000000"/>
          <w:sz w:val="22"/>
          <w:szCs w:val="22"/>
        </w:rPr>
        <w:t>2.</w:t>
      </w:r>
      <w:r>
        <w:rPr>
          <w:rFonts w:hint="eastAsia" w:hAnsi="宋体"/>
          <w:color w:val="000000"/>
          <w:sz w:val="22"/>
          <w:szCs w:val="22"/>
        </w:rPr>
        <w:t>本科人才培养目标及培养模式定位</w:t>
      </w:r>
      <w:r>
        <w:rPr>
          <w:rFonts w:hint="eastAsia"/>
          <w:color w:val="000000"/>
          <w:sz w:val="22"/>
          <w:szCs w:val="22"/>
        </w:rPr>
        <w:t>…………………………………………………… 04</w:t>
      </w:r>
    </w:p>
    <w:p>
      <w:pPr>
        <w:spacing w:line="360" w:lineRule="auto"/>
        <w:rPr>
          <w:rFonts w:hint="eastAsia"/>
          <w:color w:val="000000"/>
          <w:sz w:val="22"/>
          <w:szCs w:val="22"/>
        </w:rPr>
      </w:pPr>
      <w:r>
        <w:rPr>
          <w:rFonts w:hint="eastAsia"/>
          <w:color w:val="000000"/>
          <w:sz w:val="22"/>
          <w:szCs w:val="22"/>
        </w:rPr>
        <w:t>3.学院人才培养的中心地位及落实情况………………………………………………… 04</w:t>
      </w:r>
    </w:p>
    <w:p>
      <w:pPr>
        <w:spacing w:line="360" w:lineRule="auto"/>
        <w:rPr>
          <w:rFonts w:hint="eastAsia" w:eastAsia="宋体"/>
          <w:color w:val="000000"/>
          <w:sz w:val="22"/>
          <w:szCs w:val="22"/>
          <w:lang w:eastAsia="zh-CN"/>
        </w:rPr>
      </w:pPr>
      <w:r>
        <w:rPr>
          <w:rFonts w:hint="eastAsia"/>
          <w:color w:val="000000"/>
          <w:sz w:val="22"/>
          <w:szCs w:val="22"/>
        </w:rPr>
        <w:t>4.</w:t>
      </w:r>
      <w:r>
        <w:rPr>
          <w:rFonts w:hint="eastAsia" w:hAnsi="宋体"/>
          <w:color w:val="000000"/>
          <w:sz w:val="22"/>
          <w:szCs w:val="22"/>
        </w:rPr>
        <w:t>专业设置</w:t>
      </w:r>
      <w:r>
        <w:rPr>
          <w:rFonts w:hint="eastAsia"/>
          <w:color w:val="000000"/>
          <w:sz w:val="22"/>
          <w:szCs w:val="22"/>
        </w:rPr>
        <w:t>………………………………………………………………………………… 0</w:t>
      </w:r>
      <w:r>
        <w:rPr>
          <w:rFonts w:hint="eastAsia"/>
          <w:color w:val="000000"/>
          <w:sz w:val="22"/>
          <w:szCs w:val="22"/>
          <w:lang w:val="en-US" w:eastAsia="zh-CN"/>
        </w:rPr>
        <w:t>5</w:t>
      </w:r>
    </w:p>
    <w:p>
      <w:pPr>
        <w:spacing w:line="360" w:lineRule="auto"/>
        <w:rPr>
          <w:rFonts w:hint="eastAsia" w:eastAsia="宋体"/>
          <w:color w:val="000000"/>
          <w:sz w:val="22"/>
          <w:szCs w:val="22"/>
          <w:lang w:eastAsia="zh-CN"/>
        </w:rPr>
      </w:pPr>
      <w:r>
        <w:rPr>
          <w:rFonts w:hint="eastAsia"/>
          <w:color w:val="000000"/>
          <w:sz w:val="22"/>
          <w:szCs w:val="22"/>
        </w:rPr>
        <w:t>5.在校</w:t>
      </w:r>
      <w:r>
        <w:rPr>
          <w:rFonts w:hint="eastAsia" w:hAnsi="宋体"/>
          <w:color w:val="000000"/>
          <w:sz w:val="22"/>
          <w:szCs w:val="22"/>
        </w:rPr>
        <w:t>生规模</w:t>
      </w:r>
      <w:r>
        <w:rPr>
          <w:rFonts w:hint="eastAsia"/>
          <w:color w:val="000000"/>
          <w:sz w:val="22"/>
          <w:szCs w:val="22"/>
        </w:rPr>
        <w:t>及大学生体</w:t>
      </w:r>
      <w:r>
        <w:rPr>
          <w:rFonts w:hint="eastAsia"/>
          <w:color w:val="000000"/>
          <w:sz w:val="22"/>
          <w:szCs w:val="22"/>
          <w:lang w:eastAsia="zh-CN"/>
        </w:rPr>
        <w:t>质</w:t>
      </w:r>
      <w:r>
        <w:rPr>
          <w:rFonts w:hint="eastAsia"/>
          <w:color w:val="000000"/>
          <w:sz w:val="22"/>
          <w:szCs w:val="22"/>
        </w:rPr>
        <w:t>情况………………………………………………………… 0</w:t>
      </w:r>
      <w:r>
        <w:rPr>
          <w:rFonts w:hint="eastAsia"/>
          <w:color w:val="000000"/>
          <w:sz w:val="22"/>
          <w:szCs w:val="22"/>
          <w:lang w:val="en-US" w:eastAsia="zh-CN"/>
        </w:rPr>
        <w:t>6</w:t>
      </w:r>
    </w:p>
    <w:p>
      <w:pPr>
        <w:spacing w:line="360" w:lineRule="auto"/>
        <w:rPr>
          <w:rFonts w:hint="eastAsia" w:eastAsia="宋体"/>
          <w:color w:val="000000"/>
          <w:sz w:val="22"/>
          <w:szCs w:val="22"/>
          <w:lang w:val="en-US" w:eastAsia="zh-CN"/>
        </w:rPr>
      </w:pPr>
      <w:r>
        <w:rPr>
          <w:rFonts w:hint="eastAsia"/>
          <w:color w:val="000000"/>
          <w:sz w:val="22"/>
          <w:szCs w:val="22"/>
        </w:rPr>
        <w:t>6.</w:t>
      </w:r>
      <w:r>
        <w:rPr>
          <w:rFonts w:hint="eastAsia" w:hAnsi="宋体"/>
          <w:color w:val="000000"/>
          <w:sz w:val="22"/>
          <w:szCs w:val="22"/>
        </w:rPr>
        <w:t>招生规模及生源质量</w:t>
      </w:r>
      <w:r>
        <w:rPr>
          <w:rFonts w:hint="eastAsia"/>
          <w:color w:val="000000"/>
          <w:sz w:val="22"/>
          <w:szCs w:val="22"/>
        </w:rPr>
        <w:t>…………………………………………………………………… 0</w:t>
      </w:r>
      <w:r>
        <w:rPr>
          <w:rFonts w:hint="eastAsia"/>
          <w:color w:val="000000"/>
          <w:sz w:val="22"/>
          <w:szCs w:val="22"/>
          <w:lang w:val="en-US" w:eastAsia="zh-CN"/>
        </w:rPr>
        <w:t>6</w:t>
      </w:r>
    </w:p>
    <w:p>
      <w:pPr>
        <w:spacing w:line="360" w:lineRule="auto"/>
        <w:rPr>
          <w:rFonts w:hint="eastAsia"/>
          <w:color w:val="000000"/>
          <w:sz w:val="22"/>
          <w:szCs w:val="22"/>
        </w:rPr>
      </w:pPr>
      <w:r>
        <w:rPr>
          <w:rFonts w:hint="eastAsia"/>
          <w:color w:val="000000"/>
          <w:sz w:val="22"/>
          <w:szCs w:val="22"/>
        </w:rPr>
        <w:t>7.</w:t>
      </w:r>
      <w:r>
        <w:rPr>
          <w:rFonts w:hint="eastAsia" w:hAnsi="宋体"/>
          <w:color w:val="000000"/>
          <w:sz w:val="22"/>
          <w:szCs w:val="22"/>
        </w:rPr>
        <w:t>毕业生情况</w:t>
      </w:r>
      <w:r>
        <w:rPr>
          <w:rFonts w:hint="eastAsia"/>
          <w:color w:val="000000"/>
          <w:sz w:val="22"/>
          <w:szCs w:val="22"/>
        </w:rPr>
        <w:t>……………………………………………………………………………… 06</w:t>
      </w:r>
    </w:p>
    <w:p>
      <w:pPr>
        <w:spacing w:line="360" w:lineRule="auto"/>
        <w:rPr>
          <w:rFonts w:hint="eastAsia"/>
          <w:sz w:val="22"/>
          <w:szCs w:val="22"/>
        </w:rPr>
      </w:pPr>
    </w:p>
    <w:p>
      <w:pPr>
        <w:spacing w:line="360" w:lineRule="auto"/>
        <w:rPr>
          <w:rFonts w:hint="eastAsia"/>
          <w:color w:val="3366FF"/>
          <w:sz w:val="28"/>
          <w:szCs w:val="28"/>
        </w:rPr>
      </w:pPr>
      <w:r>
        <w:rPr>
          <w:rFonts w:hint="eastAsia" w:hAnsi="宋体"/>
          <w:color w:val="3366FF"/>
          <w:sz w:val="28"/>
          <w:szCs w:val="28"/>
        </w:rPr>
        <w:t>二、师资与教学条件</w:t>
      </w:r>
    </w:p>
    <w:p>
      <w:pPr>
        <w:spacing w:line="360" w:lineRule="auto"/>
        <w:rPr>
          <w:rFonts w:hint="eastAsia" w:eastAsia="宋体"/>
          <w:color w:val="000000"/>
          <w:sz w:val="22"/>
          <w:szCs w:val="22"/>
          <w:lang w:val="en-US" w:eastAsia="zh-CN"/>
        </w:rPr>
      </w:pPr>
      <w:r>
        <w:rPr>
          <w:rFonts w:hint="eastAsia"/>
          <w:color w:val="000000"/>
          <w:sz w:val="22"/>
          <w:szCs w:val="22"/>
        </w:rPr>
        <w:t>1.</w:t>
      </w:r>
      <w:r>
        <w:rPr>
          <w:rFonts w:hint="eastAsia" w:hAnsi="宋体"/>
          <w:color w:val="000000"/>
          <w:sz w:val="22"/>
          <w:szCs w:val="22"/>
        </w:rPr>
        <w:t>师资队伍</w:t>
      </w:r>
      <w:r>
        <w:rPr>
          <w:rFonts w:hint="eastAsia"/>
          <w:color w:val="000000"/>
          <w:sz w:val="22"/>
          <w:szCs w:val="22"/>
        </w:rPr>
        <w:t>………………………………………………………………………………… 0</w:t>
      </w:r>
      <w:r>
        <w:rPr>
          <w:rFonts w:hint="eastAsia"/>
          <w:color w:val="000000"/>
          <w:sz w:val="22"/>
          <w:szCs w:val="22"/>
          <w:lang w:val="en-US" w:eastAsia="zh-CN"/>
        </w:rPr>
        <w:t>6</w:t>
      </w:r>
    </w:p>
    <w:p>
      <w:pPr>
        <w:spacing w:line="360" w:lineRule="auto"/>
        <w:rPr>
          <w:rFonts w:hint="eastAsia" w:eastAsia="宋体"/>
          <w:color w:val="000000"/>
          <w:sz w:val="22"/>
          <w:szCs w:val="22"/>
          <w:lang w:val="en-US" w:eastAsia="zh-CN"/>
        </w:rPr>
      </w:pPr>
      <w:r>
        <w:rPr>
          <w:rFonts w:hint="eastAsia"/>
          <w:color w:val="000000"/>
          <w:sz w:val="22"/>
          <w:szCs w:val="22"/>
        </w:rPr>
        <w:t>2.</w:t>
      </w:r>
      <w:r>
        <w:rPr>
          <w:rFonts w:hint="eastAsia" w:hAnsi="宋体"/>
          <w:color w:val="000000"/>
          <w:sz w:val="22"/>
          <w:szCs w:val="22"/>
        </w:rPr>
        <w:t>教学经费投入</w:t>
      </w:r>
      <w:r>
        <w:rPr>
          <w:rFonts w:hint="eastAsia"/>
          <w:color w:val="000000"/>
          <w:sz w:val="22"/>
          <w:szCs w:val="22"/>
        </w:rPr>
        <w:t>…………………………………………………………………………… 0</w:t>
      </w:r>
      <w:r>
        <w:rPr>
          <w:rFonts w:hint="eastAsia"/>
          <w:color w:val="000000"/>
          <w:sz w:val="22"/>
          <w:szCs w:val="22"/>
          <w:lang w:val="en-US" w:eastAsia="zh-CN"/>
        </w:rPr>
        <w:t>8</w:t>
      </w:r>
    </w:p>
    <w:p>
      <w:pPr>
        <w:spacing w:line="360" w:lineRule="auto"/>
        <w:rPr>
          <w:rFonts w:hint="eastAsia" w:eastAsia="宋体"/>
          <w:color w:val="000000"/>
          <w:sz w:val="22"/>
          <w:szCs w:val="22"/>
          <w:lang w:val="en-US" w:eastAsia="zh-CN"/>
        </w:rPr>
      </w:pPr>
      <w:r>
        <w:rPr>
          <w:rFonts w:hint="eastAsia"/>
          <w:color w:val="000000"/>
          <w:sz w:val="22"/>
          <w:szCs w:val="22"/>
        </w:rPr>
        <w:t>3.</w:t>
      </w:r>
      <w:r>
        <w:rPr>
          <w:rFonts w:hint="eastAsia" w:hAnsi="宋体"/>
          <w:color w:val="000000"/>
          <w:sz w:val="22"/>
          <w:szCs w:val="22"/>
        </w:rPr>
        <w:t>教学条件</w:t>
      </w:r>
      <w:r>
        <w:rPr>
          <w:rFonts w:hint="eastAsia"/>
          <w:color w:val="000000"/>
          <w:sz w:val="22"/>
          <w:szCs w:val="22"/>
        </w:rPr>
        <w:t xml:space="preserve">………………………………………………………………………………… </w:t>
      </w:r>
      <w:r>
        <w:rPr>
          <w:rFonts w:hint="eastAsia"/>
          <w:color w:val="000000"/>
          <w:sz w:val="22"/>
          <w:szCs w:val="22"/>
          <w:lang w:val="en-US" w:eastAsia="zh-CN"/>
        </w:rPr>
        <w:t>08</w:t>
      </w:r>
    </w:p>
    <w:p>
      <w:pPr>
        <w:spacing w:line="360" w:lineRule="auto"/>
        <w:rPr>
          <w:rFonts w:hint="eastAsia"/>
          <w:sz w:val="22"/>
          <w:szCs w:val="22"/>
        </w:rPr>
      </w:pPr>
    </w:p>
    <w:p>
      <w:pPr>
        <w:spacing w:line="360" w:lineRule="auto"/>
        <w:rPr>
          <w:rFonts w:hint="eastAsia"/>
          <w:color w:val="3366FF"/>
          <w:sz w:val="28"/>
          <w:szCs w:val="28"/>
        </w:rPr>
      </w:pPr>
      <w:r>
        <w:rPr>
          <w:rFonts w:hint="eastAsia" w:hAnsi="宋体"/>
          <w:color w:val="3366FF"/>
          <w:sz w:val="28"/>
          <w:szCs w:val="28"/>
        </w:rPr>
        <w:t>三、教学建设与改革</w:t>
      </w:r>
    </w:p>
    <w:p>
      <w:pPr>
        <w:spacing w:line="360" w:lineRule="auto"/>
        <w:rPr>
          <w:rFonts w:hint="eastAsia" w:eastAsia="宋体"/>
          <w:color w:val="000000"/>
          <w:sz w:val="22"/>
          <w:szCs w:val="22"/>
          <w:lang w:val="en-US" w:eastAsia="zh-CN"/>
        </w:rPr>
      </w:pPr>
      <w:r>
        <w:rPr>
          <w:rFonts w:hint="eastAsia"/>
          <w:color w:val="000000"/>
          <w:sz w:val="22"/>
          <w:szCs w:val="22"/>
        </w:rPr>
        <w:t>1.</w:t>
      </w:r>
      <w:r>
        <w:rPr>
          <w:rFonts w:hint="eastAsia" w:hAnsi="宋体"/>
          <w:color w:val="000000"/>
          <w:sz w:val="22"/>
          <w:szCs w:val="22"/>
        </w:rPr>
        <w:t>培养方案</w:t>
      </w:r>
      <w:r>
        <w:rPr>
          <w:rFonts w:hint="eastAsia"/>
          <w:color w:val="000000"/>
          <w:sz w:val="22"/>
          <w:szCs w:val="22"/>
        </w:rPr>
        <w:t xml:space="preserve">………………………………………………………………………………… </w:t>
      </w:r>
      <w:r>
        <w:rPr>
          <w:rFonts w:hint="eastAsia"/>
          <w:color w:val="000000"/>
          <w:sz w:val="22"/>
          <w:szCs w:val="22"/>
          <w:lang w:val="en-US" w:eastAsia="zh-CN"/>
        </w:rPr>
        <w:t>09</w:t>
      </w:r>
    </w:p>
    <w:p>
      <w:pPr>
        <w:spacing w:line="360" w:lineRule="auto"/>
        <w:rPr>
          <w:rFonts w:hint="eastAsia" w:eastAsia="宋体"/>
          <w:color w:val="000000"/>
          <w:sz w:val="22"/>
          <w:szCs w:val="22"/>
          <w:lang w:val="en-US" w:eastAsia="zh-CN"/>
        </w:rPr>
      </w:pPr>
      <w:r>
        <w:rPr>
          <w:rFonts w:hint="eastAsia"/>
          <w:color w:val="000000"/>
          <w:sz w:val="22"/>
          <w:szCs w:val="22"/>
        </w:rPr>
        <w:t>2.</w:t>
      </w:r>
      <w:r>
        <w:rPr>
          <w:rFonts w:hint="eastAsia" w:hAnsi="宋体"/>
          <w:color w:val="000000"/>
          <w:sz w:val="22"/>
          <w:szCs w:val="22"/>
        </w:rPr>
        <w:t>实践教学</w:t>
      </w:r>
      <w:r>
        <w:rPr>
          <w:rFonts w:hint="eastAsia"/>
          <w:color w:val="000000"/>
          <w:sz w:val="22"/>
          <w:szCs w:val="22"/>
        </w:rPr>
        <w:t xml:space="preserve">………………………………………………………………………………… </w:t>
      </w:r>
      <w:r>
        <w:rPr>
          <w:rFonts w:hint="eastAsia"/>
          <w:color w:val="000000"/>
          <w:sz w:val="22"/>
          <w:szCs w:val="22"/>
          <w:lang w:val="en-US" w:eastAsia="zh-CN"/>
        </w:rPr>
        <w:t>11</w:t>
      </w:r>
    </w:p>
    <w:p>
      <w:pPr>
        <w:spacing w:line="360" w:lineRule="auto"/>
        <w:rPr>
          <w:rFonts w:hint="eastAsia" w:eastAsia="宋体"/>
          <w:color w:val="000000"/>
          <w:sz w:val="22"/>
          <w:szCs w:val="22"/>
          <w:lang w:val="en-US" w:eastAsia="zh-CN"/>
        </w:rPr>
      </w:pPr>
      <w:r>
        <w:rPr>
          <w:rFonts w:hint="eastAsia"/>
          <w:color w:val="000000"/>
          <w:sz w:val="22"/>
          <w:szCs w:val="22"/>
        </w:rPr>
        <w:t>3.</w:t>
      </w:r>
      <w:r>
        <w:rPr>
          <w:rFonts w:hint="eastAsia" w:hAnsi="宋体"/>
          <w:color w:val="000000"/>
          <w:sz w:val="22"/>
          <w:szCs w:val="22"/>
        </w:rPr>
        <w:t>毕业论文设计</w:t>
      </w:r>
      <w:r>
        <w:rPr>
          <w:rFonts w:hint="eastAsia"/>
          <w:color w:val="000000"/>
          <w:sz w:val="22"/>
          <w:szCs w:val="22"/>
        </w:rPr>
        <w:t>…………………………………………………………………………… 1</w:t>
      </w:r>
      <w:r>
        <w:rPr>
          <w:rFonts w:hint="eastAsia"/>
          <w:color w:val="000000"/>
          <w:sz w:val="22"/>
          <w:szCs w:val="22"/>
          <w:lang w:val="en-US" w:eastAsia="zh-CN"/>
        </w:rPr>
        <w:t>4</w:t>
      </w:r>
    </w:p>
    <w:p>
      <w:pPr>
        <w:spacing w:line="360" w:lineRule="auto"/>
        <w:rPr>
          <w:rFonts w:hint="eastAsia" w:eastAsia="宋体"/>
          <w:color w:val="000000"/>
          <w:sz w:val="22"/>
          <w:szCs w:val="22"/>
          <w:lang w:val="en-US" w:eastAsia="zh-CN"/>
        </w:rPr>
      </w:pPr>
      <w:r>
        <w:rPr>
          <w:rFonts w:hint="eastAsia"/>
          <w:color w:val="000000"/>
          <w:sz w:val="22"/>
          <w:szCs w:val="22"/>
        </w:rPr>
        <w:t>4.</w:t>
      </w:r>
      <w:r>
        <w:rPr>
          <w:rFonts w:hint="eastAsia" w:hAnsi="宋体"/>
          <w:color w:val="000000"/>
          <w:sz w:val="22"/>
          <w:szCs w:val="22"/>
        </w:rPr>
        <w:t>专业建设</w:t>
      </w:r>
      <w:r>
        <w:rPr>
          <w:rFonts w:hint="eastAsia"/>
          <w:color w:val="000000"/>
          <w:sz w:val="22"/>
          <w:szCs w:val="22"/>
        </w:rPr>
        <w:t>………………………………………………………………………………… 1</w:t>
      </w:r>
      <w:r>
        <w:rPr>
          <w:rFonts w:hint="eastAsia"/>
          <w:color w:val="000000"/>
          <w:sz w:val="22"/>
          <w:szCs w:val="22"/>
          <w:lang w:val="en-US" w:eastAsia="zh-CN"/>
        </w:rPr>
        <w:t>5</w:t>
      </w:r>
    </w:p>
    <w:p>
      <w:pPr>
        <w:spacing w:line="360" w:lineRule="auto"/>
        <w:rPr>
          <w:rFonts w:hint="eastAsia" w:eastAsia="宋体"/>
          <w:color w:val="000000"/>
          <w:sz w:val="22"/>
          <w:szCs w:val="22"/>
          <w:lang w:val="en-US" w:eastAsia="zh-CN"/>
        </w:rPr>
      </w:pPr>
      <w:r>
        <w:rPr>
          <w:rFonts w:hint="eastAsia"/>
          <w:color w:val="000000"/>
          <w:sz w:val="22"/>
          <w:szCs w:val="22"/>
        </w:rPr>
        <w:t>5.</w:t>
      </w:r>
      <w:r>
        <w:rPr>
          <w:rFonts w:hint="eastAsia" w:hAnsi="宋体"/>
          <w:color w:val="000000"/>
          <w:sz w:val="22"/>
          <w:szCs w:val="22"/>
        </w:rPr>
        <w:t>课程建设</w:t>
      </w:r>
      <w:r>
        <w:rPr>
          <w:rFonts w:hint="eastAsia"/>
          <w:color w:val="000000"/>
          <w:sz w:val="22"/>
          <w:szCs w:val="22"/>
        </w:rPr>
        <w:t>………………………………………………………………………………… 1</w:t>
      </w:r>
      <w:r>
        <w:rPr>
          <w:rFonts w:hint="eastAsia"/>
          <w:color w:val="000000"/>
          <w:sz w:val="22"/>
          <w:szCs w:val="22"/>
          <w:lang w:val="en-US" w:eastAsia="zh-CN"/>
        </w:rPr>
        <w:t>5</w:t>
      </w:r>
    </w:p>
    <w:p>
      <w:pPr>
        <w:spacing w:line="360" w:lineRule="auto"/>
        <w:rPr>
          <w:rFonts w:hint="eastAsia" w:eastAsia="宋体"/>
          <w:color w:val="000000"/>
          <w:sz w:val="22"/>
          <w:szCs w:val="22"/>
          <w:lang w:val="en-US" w:eastAsia="zh-CN"/>
        </w:rPr>
      </w:pPr>
      <w:r>
        <w:rPr>
          <w:rFonts w:hint="eastAsia"/>
          <w:color w:val="000000"/>
          <w:sz w:val="22"/>
          <w:szCs w:val="22"/>
        </w:rPr>
        <w:t>6.</w:t>
      </w:r>
      <w:r>
        <w:rPr>
          <w:rFonts w:hint="eastAsia" w:hAnsi="宋体"/>
          <w:color w:val="000000"/>
          <w:sz w:val="22"/>
          <w:szCs w:val="22"/>
        </w:rPr>
        <w:t>教材建设</w:t>
      </w:r>
      <w:r>
        <w:rPr>
          <w:rFonts w:hint="eastAsia"/>
          <w:color w:val="000000"/>
          <w:sz w:val="22"/>
          <w:szCs w:val="22"/>
        </w:rPr>
        <w:t>………………………………………………………………………………… 1</w:t>
      </w:r>
      <w:r>
        <w:rPr>
          <w:rFonts w:hint="eastAsia"/>
          <w:color w:val="000000"/>
          <w:sz w:val="22"/>
          <w:szCs w:val="22"/>
          <w:lang w:val="en-US" w:eastAsia="zh-CN"/>
        </w:rPr>
        <w:t>5</w:t>
      </w:r>
    </w:p>
    <w:p>
      <w:pPr>
        <w:spacing w:line="360" w:lineRule="auto"/>
        <w:rPr>
          <w:rFonts w:hint="eastAsia"/>
          <w:color w:val="FF0000"/>
          <w:sz w:val="22"/>
          <w:szCs w:val="22"/>
        </w:rPr>
      </w:pPr>
      <w:r>
        <w:rPr>
          <w:rFonts w:hint="eastAsia"/>
          <w:color w:val="FF0000"/>
          <w:sz w:val="22"/>
          <w:szCs w:val="22"/>
          <w:lang/>
        </w:rPr>
        <mc:AlternateContent>
          <mc:Choice Requires="wps">
            <w:drawing>
              <wp:anchor distT="0" distB="0" distL="114300" distR="114300" simplePos="0" relativeHeight="251666432" behindDoc="0" locked="0" layoutInCell="1" allowOverlap="1">
                <wp:simplePos x="0" y="0"/>
                <wp:positionH relativeFrom="column">
                  <wp:posOffset>447675</wp:posOffset>
                </wp:positionH>
                <wp:positionV relativeFrom="paragraph">
                  <wp:posOffset>-403860</wp:posOffset>
                </wp:positionV>
                <wp:extent cx="7835900" cy="515620"/>
                <wp:effectExtent l="0" t="0" r="0" b="0"/>
                <wp:wrapNone/>
                <wp:docPr id="70" name="Text Box 2"/>
                <wp:cNvGraphicFramePr/>
                <a:graphic xmlns:a="http://schemas.openxmlformats.org/drawingml/2006/main">
                  <a:graphicData uri="http://schemas.microsoft.com/office/word/2010/wordprocessingShape">
                    <wps:wsp>
                      <wps:cNvSpPr txBox="1"/>
                      <wps:spPr>
                        <a:xfrm>
                          <a:off x="0" y="0"/>
                          <a:ext cx="7835900" cy="515620"/>
                        </a:xfrm>
                        <a:prstGeom prst="rect">
                          <a:avLst/>
                        </a:prstGeom>
                        <a:noFill/>
                        <a:ln w="9525">
                          <a:noFill/>
                        </a:ln>
                      </wps:spPr>
                      <wps:txbx>
                        <w:txbxContent>
                          <w:p>
                            <w:pPr>
                              <w:rPr>
                                <w:rFonts w:hint="eastAsia" w:ascii="黑体" w:eastAsia="黑体"/>
                                <w:b/>
                                <w:i/>
                                <w:sz w:val="28"/>
                                <w:szCs w:val="28"/>
                              </w:rPr>
                            </w:pPr>
                            <w:r>
                              <w:rPr>
                                <w:rFonts w:hint="eastAsia" w:ascii="黑体" w:eastAsia="黑体"/>
                                <w:b/>
                                <w:i/>
                                <w:color w:val="FFFFFF"/>
                                <w:sz w:val="28"/>
                                <w:szCs w:val="28"/>
                              </w:rPr>
                              <w:t>遵义医学院医学与科技学院201</w:t>
                            </w:r>
                            <w:r>
                              <w:rPr>
                                <w:rFonts w:hint="eastAsia" w:ascii="黑体" w:eastAsia="黑体"/>
                                <w:b/>
                                <w:i/>
                                <w:color w:val="FFFFFF"/>
                                <w:sz w:val="28"/>
                                <w:szCs w:val="28"/>
                                <w:lang w:val="en-US" w:eastAsia="zh-CN"/>
                              </w:rPr>
                              <w:t>7-2018学年</w:t>
                            </w:r>
                            <w:r>
                              <w:rPr>
                                <w:rFonts w:hint="eastAsia" w:ascii="黑体" w:eastAsia="黑体"/>
                                <w:b/>
                                <w:i/>
                                <w:color w:val="FFFFFF"/>
                                <w:sz w:val="28"/>
                                <w:szCs w:val="28"/>
                              </w:rPr>
                              <w:t>本科教学质量报告</w:t>
                            </w:r>
                          </w:p>
                        </w:txbxContent>
                      </wps:txbx>
                      <wps:bodyPr wrap="square" upright="1"/>
                    </wps:wsp>
                  </a:graphicData>
                </a:graphic>
              </wp:anchor>
            </w:drawing>
          </mc:Choice>
          <mc:Fallback>
            <w:pict>
              <v:shape id="Text Box 2" o:spid="_x0000_s1026" o:spt="202" type="#_x0000_t202" style="position:absolute;left:0pt;margin-left:35.25pt;margin-top:-31.8pt;height:40.6pt;width:617pt;z-index:251666432;mso-width-relative:page;mso-height-relative:page;" filled="f" stroked="f" coordsize="21600,21600" o:gfxdata="UEsDBAoAAAAAAIdO4kAAAAAAAAAAAAAAAAAEAAAAZHJzL1BLAwQUAAAACACHTuJAXoaawNYAAAAK&#10;AQAADwAAAGRycy9kb3ducmV2LnhtbE2PTU/DMAyG70j8h8hI3LZkbOugNN0BxBXE+JC4eY3XVjRO&#10;1WRr+fd4J7j549Hrx8V28p060RDbwBYWcwOKuAqu5drC+9vT7BZUTMgOu8Bk4YcibMvLiwJzF0Z+&#10;pdMu1UpCOOZooUmpz7WOVUMe4zz0xLI7hMFjknaotRtwlHDf6RtjMu2xZbnQYE8PDVXfu6O38PF8&#10;+PpcmZf60a/7MUxGs7/T1l5fLcw9qERT+oPhrC/qUIrTPhzZRdVZ2Ji1kBZm2TIDdQaWZiWjvVSb&#10;DHRZ6P8vlL9QSwMEFAAAAAgAh07iQCWjeCaUAQAAFwMAAA4AAABkcnMvZTJvRG9jLnhtbK1S224b&#10;IRB9r9R/QLzXu95oc1kZR6qi9KVqKyX9AMyCFwkYMmDv+u87EMep2reqLwPM5cycM2zuF+/YUWOy&#10;EARfr1rOdFAw2rAX/Ofz46dbzlKWYZQOghb8pBO/3378sJnjoDuYwI0aGYGENMxR8CnnODRNUpP2&#10;Mq0g6kBBA+hlpifumxHlTOjeNV3bXjcz4BgRlE6JvA+vQb6t+MZolb8bk3RmTnCaLVeL1e6KbbYb&#10;OexRxsmq8xjyH6bw0gZqeoF6kFmyA9q/oLxVCAlMXinwDRhjla4ciM26/YPN0ySjrlxInBQvMqX/&#10;B6u+HX8gs6PgNyRPkJ529KyXzD7DwroizxzTQFlPkfLyQm5a85s/kbOwXgz6chIfRnFCOl3ELWCK&#10;nDe3V/1dSyFFsX7dX3dV/ea9OmLKXzR4Vi6CIy2vaiqPX1OmSSj1LaU0C/BonasLdIHNgt/1XV8L&#10;LhGqcIEKC4fXWcstL7vlTGwH44l4zfQBBE8vB4mas0NEu59ogsqzFpP6tf/5p5T1/v6uLd7/8/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XoaawNYAAAAKAQAADwAAAAAAAAABACAAAAAiAAAAZHJz&#10;L2Rvd25yZXYueG1sUEsBAhQAFAAAAAgAh07iQCWjeCaUAQAAFwMAAA4AAAAAAAAAAQAgAAAAJQEA&#10;AGRycy9lMm9Eb2MueG1sUEsFBgAAAAAGAAYAWQEAACsFAAAAAA==&#10;">
                <v:fill on="f" focussize="0,0"/>
                <v:stroke on="f"/>
                <v:imagedata o:title=""/>
                <o:lock v:ext="edit" aspectratio="f"/>
                <v:textbox>
                  <w:txbxContent>
                    <w:p>
                      <w:pPr>
                        <w:rPr>
                          <w:rFonts w:hint="eastAsia" w:ascii="黑体" w:eastAsia="黑体"/>
                          <w:b/>
                          <w:i/>
                          <w:sz w:val="28"/>
                          <w:szCs w:val="28"/>
                        </w:rPr>
                      </w:pPr>
                      <w:r>
                        <w:rPr>
                          <w:rFonts w:hint="eastAsia" w:ascii="黑体" w:eastAsia="黑体"/>
                          <w:b/>
                          <w:i/>
                          <w:color w:val="FFFFFF"/>
                          <w:sz w:val="28"/>
                          <w:szCs w:val="28"/>
                        </w:rPr>
                        <w:t>遵义医学院医学与科技学院201</w:t>
                      </w:r>
                      <w:r>
                        <w:rPr>
                          <w:rFonts w:hint="eastAsia" w:ascii="黑体" w:eastAsia="黑体"/>
                          <w:b/>
                          <w:i/>
                          <w:color w:val="FFFFFF"/>
                          <w:sz w:val="28"/>
                          <w:szCs w:val="28"/>
                          <w:lang w:val="en-US" w:eastAsia="zh-CN"/>
                        </w:rPr>
                        <w:t>7-2018学年</w:t>
                      </w:r>
                      <w:r>
                        <w:rPr>
                          <w:rFonts w:hint="eastAsia" w:ascii="黑体" w:eastAsia="黑体"/>
                          <w:b/>
                          <w:i/>
                          <w:color w:val="FFFFFF"/>
                          <w:sz w:val="28"/>
                          <w:szCs w:val="28"/>
                        </w:rPr>
                        <w:t>本科教学质量报告</w:t>
                      </w:r>
                    </w:p>
                  </w:txbxContent>
                </v:textbox>
              </v:shape>
            </w:pict>
          </mc:Fallback>
        </mc:AlternateContent>
      </w:r>
    </w:p>
    <w:p>
      <w:pPr>
        <w:spacing w:line="360" w:lineRule="auto"/>
        <w:rPr>
          <w:rFonts w:hint="eastAsia" w:eastAsia="宋体"/>
          <w:color w:val="000000"/>
          <w:sz w:val="22"/>
          <w:szCs w:val="22"/>
          <w:lang w:val="en-US" w:eastAsia="zh-CN"/>
        </w:rPr>
      </w:pPr>
      <w:r>
        <w:rPr>
          <w:rFonts w:hint="eastAsia"/>
          <w:color w:val="000000"/>
          <w:sz w:val="22"/>
          <w:szCs w:val="22"/>
        </w:rPr>
        <w:t>7.</w:t>
      </w:r>
      <w:r>
        <w:rPr>
          <w:rFonts w:hint="eastAsia" w:hAnsi="宋体"/>
          <w:color w:val="000000"/>
          <w:sz w:val="22"/>
          <w:szCs w:val="22"/>
        </w:rPr>
        <w:t>教学改革</w:t>
      </w:r>
      <w:r>
        <w:rPr>
          <w:rFonts w:hint="eastAsia"/>
          <w:color w:val="000000"/>
          <w:sz w:val="22"/>
          <w:szCs w:val="22"/>
        </w:rPr>
        <w:t>………………………………………………………………………………… 1</w:t>
      </w:r>
      <w:r>
        <w:rPr>
          <w:rFonts w:hint="eastAsia"/>
          <w:color w:val="000000"/>
          <w:sz w:val="22"/>
          <w:szCs w:val="22"/>
          <w:lang w:val="en-US" w:eastAsia="zh-CN"/>
        </w:rPr>
        <w:t>5</w:t>
      </w:r>
    </w:p>
    <w:p>
      <w:pPr>
        <w:spacing w:line="360" w:lineRule="auto"/>
        <w:ind w:left="210" w:leftChars="100"/>
        <w:rPr>
          <w:rFonts w:hint="eastAsia"/>
          <w:sz w:val="22"/>
          <w:szCs w:val="22"/>
        </w:rPr>
      </w:pPr>
      <w:r>
        <w:rPr>
          <w:rFonts w:hint="eastAsia"/>
          <w:sz w:val="22"/>
          <w:szCs w:val="22"/>
        </w:rPr>
        <mc:AlternateContent>
          <mc:Choice Requires="wps">
            <w:drawing>
              <wp:anchor distT="0" distB="0" distL="114300" distR="114300" simplePos="0" relativeHeight="251664384" behindDoc="0" locked="0" layoutInCell="1" allowOverlap="1">
                <wp:simplePos x="0" y="0"/>
                <wp:positionH relativeFrom="column">
                  <wp:posOffset>5072380</wp:posOffset>
                </wp:positionH>
                <wp:positionV relativeFrom="paragraph">
                  <wp:posOffset>62865</wp:posOffset>
                </wp:positionV>
                <wp:extent cx="186055" cy="384175"/>
                <wp:effectExtent l="0" t="0" r="0" b="0"/>
                <wp:wrapNone/>
                <wp:docPr id="68" name="Text Box 4"/>
                <wp:cNvGraphicFramePr/>
                <a:graphic xmlns:a="http://schemas.openxmlformats.org/drawingml/2006/main">
                  <a:graphicData uri="http://schemas.microsoft.com/office/word/2010/wordprocessingShape">
                    <wps:wsp>
                      <wps:cNvSpPr txBox="1"/>
                      <wps:spPr>
                        <a:xfrm flipH="1">
                          <a:off x="0" y="0"/>
                          <a:ext cx="186055" cy="384175"/>
                        </a:xfrm>
                        <a:prstGeom prst="rect">
                          <a:avLst/>
                        </a:prstGeom>
                        <a:noFill/>
                        <a:ln w="9525">
                          <a:noFill/>
                        </a:ln>
                      </wps:spPr>
                      <wps:txbx>
                        <w:txbxContent>
                          <w:p>
                            <w:pPr>
                              <w:rPr>
                                <w:rFonts w:hint="eastAsia" w:ascii="黑体" w:eastAsia="黑体"/>
                                <w:b/>
                                <w:i/>
                                <w:sz w:val="24"/>
                              </w:rPr>
                            </w:pPr>
                          </w:p>
                          <w:p>
                            <w:pPr>
                              <w:rPr>
                                <w:rFonts w:hint="eastAsia" w:ascii="黑体" w:eastAsia="黑体"/>
                                <w:b/>
                                <w:i/>
                                <w:color w:val="FFFFFF"/>
                                <w:sz w:val="24"/>
                              </w:rPr>
                            </w:pPr>
                          </w:p>
                        </w:txbxContent>
                      </wps:txbx>
                      <wps:bodyPr wrap="square" upright="1"/>
                    </wps:wsp>
                  </a:graphicData>
                </a:graphic>
              </wp:anchor>
            </w:drawing>
          </mc:Choice>
          <mc:Fallback>
            <w:pict>
              <v:shape id="Text Box 4" o:spid="_x0000_s1026" o:spt="202" type="#_x0000_t202" style="position:absolute;left:0pt;flip:x;margin-left:399.4pt;margin-top:4.95pt;height:30.25pt;width:14.65pt;z-index:251664384;mso-width-relative:page;mso-height-relative:page;" filled="f" stroked="f" coordsize="21600,21600" o:gfxdata="UEsDBAoAAAAAAIdO4kAAAAAAAAAAAAAAAAAEAAAAZHJzL1BLAwQUAAAACACHTuJA6kbYx9kAAAAI&#10;AQAADwAAAGRycy9kb3ducmV2LnhtbE2Py07DMBBF90j8gzVI7KidqtAkjdMFEhKLgGhAapdu7MZR&#10;7XEUuw/+nmEFy9G5uvdMtb56x85mikNACdlMADPYBT1gL+Hr8+UhBxaTQq1cQCPh20RY17c3lSp1&#10;uODGnNvUMyrBWCoJNqWx5Dx21ngVZ2E0SOwQJq8SnVPP9aQuVO4dnwvxxL0akBasGs2zNd2xPXkJ&#10;utluH5fHsdnY3eLw6t510368SXl/l4kVsGSu6S8Mv/qkDjU57cMJdWROwrLIST1JKApgxPN5ngHb&#10;ExAL4HXF/z9Q/wBQSwMEFAAAAAgAh07iQASA9oGaAQAAIAMAAA4AAABkcnMvZTJvRG9jLnhtbK1S&#10;TY8TMQy9I/EfotzpTMtOKaOmK6HVwgEB0i4/IM0knUhJHJy0M/33OGm3ILghLlbij2c/P2/vZ+/Y&#10;SWOyEARfLlrOdFAw2HAQ/Pvz45sNZynLMEgHQQt+1onf716/2k6x1ysYwQ0aGYGE1E9R8DHn2DdN&#10;UqP2Mi0g6kBBA+hlpi8emgHlROjeNau2XTcT4BARlE6JvA+XIN9VfGO0yl+NSTozJzjNlqvFavfF&#10;Nrut7A8o42jVdQz5D1N4aQM1vUE9yCzZEe1fUN4qhAQmLxT4BoyxSlcOxGbZ/sHmaZRRVy60nBRv&#10;a0r/D1Z9OX1DZgfB16RUkJ40etZzZh9gZndlPVNMPWU9RcrLM7lJ5hd/ImdhPRv0zDgbP5Vg8RAz&#10;Rpm08vNtzQVWlfLNuu06zhSF3m7ulu+6gtdcYEpxxJQ/avCsPARHUrGCytPnlC+pLyklPcCjda4q&#10;6QKbBH/frbpacIsQuAvUo5C5DF1eed7PV4Z7GM5EcKJLEDz9OErUnB0j2sNIE1TCtZhkqKNeT6bo&#10;/Pu/tvh12L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6kbYx9kAAAAIAQAADwAAAAAAAAABACAA&#10;AAAiAAAAZHJzL2Rvd25yZXYueG1sUEsBAhQAFAAAAAgAh07iQASA9oGaAQAAIAMAAA4AAAAAAAAA&#10;AQAgAAAAKAEAAGRycy9lMm9Eb2MueG1sUEsFBgAAAAAGAAYAWQEAADQFAAAAAA==&#10;">
                <v:fill on="f" focussize="0,0"/>
                <v:stroke on="f"/>
                <v:imagedata o:title=""/>
                <o:lock v:ext="edit" aspectratio="f"/>
                <v:textbox>
                  <w:txbxContent>
                    <w:p>
                      <w:pPr>
                        <w:rPr>
                          <w:rFonts w:hint="eastAsia" w:ascii="黑体" w:eastAsia="黑体"/>
                          <w:b/>
                          <w:i/>
                          <w:sz w:val="24"/>
                        </w:rPr>
                      </w:pPr>
                    </w:p>
                    <w:p>
                      <w:pPr>
                        <w:rPr>
                          <w:rFonts w:hint="eastAsia" w:ascii="黑体" w:eastAsia="黑体"/>
                          <w:b/>
                          <w:i/>
                          <w:color w:val="FFFFFF"/>
                          <w:sz w:val="24"/>
                        </w:rPr>
                      </w:pPr>
                    </w:p>
                  </w:txbxContent>
                </v:textbox>
              </v:shape>
            </w:pict>
          </mc:Fallback>
        </mc:AlternateContent>
      </w:r>
    </w:p>
    <w:p>
      <w:pPr>
        <w:spacing w:line="360" w:lineRule="auto"/>
        <w:rPr>
          <w:rFonts w:hint="eastAsia" w:eastAsia="宋体"/>
          <w:color w:val="3366FF"/>
          <w:sz w:val="28"/>
          <w:szCs w:val="28"/>
          <w:lang w:val="en-US" w:eastAsia="zh-CN"/>
        </w:rPr>
      </w:pPr>
      <w:r>
        <w:rPr>
          <w:rFonts w:hint="eastAsia"/>
          <w:color w:val="3366FF"/>
          <w:sz w:val="28"/>
          <w:szCs w:val="28"/>
        </w:rPr>
        <mc:AlternateContent>
          <mc:Choice Requires="wps">
            <w:drawing>
              <wp:anchor distT="0" distB="0" distL="114300" distR="114300" simplePos="0" relativeHeight="251665408" behindDoc="0" locked="0" layoutInCell="1" allowOverlap="1">
                <wp:simplePos x="0" y="0"/>
                <wp:positionH relativeFrom="column">
                  <wp:posOffset>5956935</wp:posOffset>
                </wp:positionH>
                <wp:positionV relativeFrom="paragraph">
                  <wp:posOffset>70485</wp:posOffset>
                </wp:positionV>
                <wp:extent cx="76200" cy="626745"/>
                <wp:effectExtent l="0" t="0" r="0" b="0"/>
                <wp:wrapNone/>
                <wp:docPr id="69" name="Text Box 5"/>
                <wp:cNvGraphicFramePr/>
                <a:graphic xmlns:a="http://schemas.openxmlformats.org/drawingml/2006/main">
                  <a:graphicData uri="http://schemas.microsoft.com/office/word/2010/wordprocessingShape">
                    <wps:wsp>
                      <wps:cNvSpPr txBox="1"/>
                      <wps:spPr>
                        <a:xfrm flipV="1">
                          <a:off x="0" y="0"/>
                          <a:ext cx="76200" cy="626745"/>
                        </a:xfrm>
                        <a:prstGeom prst="rect">
                          <a:avLst/>
                        </a:prstGeom>
                        <a:noFill/>
                        <a:ln w="9525">
                          <a:noFill/>
                        </a:ln>
                      </wps:spPr>
                      <wps:txbx>
                        <w:txbxContent>
                          <w:p>
                            <w:pPr>
                              <w:rPr>
                                <w:rFonts w:hint="eastAsia" w:ascii="黑体" w:eastAsia="黑体"/>
                                <w:b/>
                                <w:i/>
                                <w:sz w:val="24"/>
                              </w:rPr>
                            </w:pPr>
                            <w:r>
                              <w:rPr>
                                <w:rFonts w:hint="eastAsia" w:ascii="黑体" w:eastAsia="黑体"/>
                                <w:b/>
                                <w:i/>
                                <w:color w:val="FFFFFF"/>
                                <w:sz w:val="24"/>
                              </w:rPr>
                              <w:t>遵义医学院医学与科技学院2012年度本科教学质量年度报告</w:t>
                            </w:r>
                          </w:p>
                        </w:txbxContent>
                      </wps:txbx>
                      <wps:bodyPr wrap="square" upright="1"/>
                    </wps:wsp>
                  </a:graphicData>
                </a:graphic>
              </wp:anchor>
            </w:drawing>
          </mc:Choice>
          <mc:Fallback>
            <w:pict>
              <v:shape id="Text Box 5" o:spid="_x0000_s1026" o:spt="202" type="#_x0000_t202" style="position:absolute;left:0pt;flip:y;margin-left:469.05pt;margin-top:5.55pt;height:49.35pt;width:6pt;z-index:251665408;mso-width-relative:page;mso-height-relative:page;" filled="f" stroked="f" coordsize="21600,21600" o:gfxdata="UEsDBAoAAAAAAIdO4kAAAAAAAAAAAAAAAAAEAAAAZHJzL1BLAwQUAAAACACHTuJAjsY48tkAAAAK&#10;AQAADwAAAGRycy9kb3ducmV2LnhtbE2Py07DMBBF90j8gzVI7KgdoJCEOF0gIbEIqA2V2qUbT+Oo&#10;fkSx++DvGVawmse9unOmWlycZSec4hC8hGwmgKHvgh58L2H99XaXA4tJea1s8CjhGyMs6uurSpU6&#10;nP0KT23qGYX4WCoJJqWx5Dx2Bp2KszCiJ20fJqcSjVPP9aTOFO4svxfiiTs1eLpg1IivBrtDe3QS&#10;dLPZzJ8PY7My28f9u/3UTbv8kPL2JhMvwBJe0p8ZfvEJHWpi2oWj15FZCcVDnpGVhIwqGYq5oGZH&#10;C1HkwOuK/3+h/gFQSwMEFAAAAAgAh07iQAXgShKZAQAAHwMAAA4AAABkcnMvZTJvRG9jLnhtbK1S&#10;yW4bMQy9F+g/CLrX4xj1pBlYDlAE6aVIAmS5yxrJI0BbSdkz/vtQsuMWyS3ohZC4PPLxcXU9ecf2&#10;GtDGIPjFbM6ZDir2NmwFf366/faDM8wy9NLFoAU/aOTX669fVmPq9CIO0fUaGIEE7MYk+JBz6poG&#10;1aC9xFlMOlDQRPAy0xe2TQ9yJHTvmsV83jZjhD5BVBqRvDfHIF9XfGO0yvfGoM7MCU6z5Wqh2k2x&#10;zXoluy3INFh1GkN+YgovbaCmZ6gbmSXbgf0A5a2CiNHkmYq+icZYpSsHYnMxf8fmcZBJVy60HEzn&#10;NeH/g1V3+wdgthe8veIsSE8aPekps59xYsuynjFhR1mPifLyRG6S+c2P5CysJwOeGWfTSwkWDzFj&#10;lEkrP5zXXGAVOS9bUo4zRZF20V5+r22aI0qpTYD5l46elYfgQCJWTLn/jZkmotS3lJIe4q11rgrp&#10;AhsFv1oulrXgHKEKF6iwcDnOXF552kwngpvYH4jfSIcgOP7ZSdCc7RLY7UATVL61mFSo/U8XU2T+&#10;919b/L3r9S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Oxjjy2QAAAAoBAAAPAAAAAAAAAAEAIAAA&#10;ACIAAABkcnMvZG93bnJldi54bWxQSwECFAAUAAAACACHTuJABeBKEpkBAAAfAwAADgAAAAAAAAAB&#10;ACAAAAAoAQAAZHJzL2Uyb0RvYy54bWxQSwUGAAAAAAYABgBZAQAAMwUAAAAA&#10;">
                <v:fill on="f" focussize="0,0"/>
                <v:stroke on="f"/>
                <v:imagedata o:title=""/>
                <o:lock v:ext="edit" aspectratio="f"/>
                <v:textbox>
                  <w:txbxContent>
                    <w:p>
                      <w:pPr>
                        <w:rPr>
                          <w:rFonts w:hint="eastAsia" w:ascii="黑体" w:eastAsia="黑体"/>
                          <w:b/>
                          <w:i/>
                          <w:sz w:val="24"/>
                        </w:rPr>
                      </w:pPr>
                      <w:r>
                        <w:rPr>
                          <w:rFonts w:hint="eastAsia" w:ascii="黑体" w:eastAsia="黑体"/>
                          <w:b/>
                          <w:i/>
                          <w:color w:val="FFFFFF"/>
                          <w:sz w:val="24"/>
                        </w:rPr>
                        <w:t>遵义医学院医学与科技学院2012年度本科教学质量年度报告</w:t>
                      </w:r>
                    </w:p>
                  </w:txbxContent>
                </v:textbox>
              </v:shape>
            </w:pict>
          </mc:Fallback>
        </mc:AlternateContent>
      </w:r>
      <w:r>
        <w:rPr>
          <w:rFonts w:hint="eastAsia" w:hAnsi="宋体"/>
          <w:color w:val="3366FF"/>
          <w:sz w:val="28"/>
          <w:szCs w:val="28"/>
        </w:rPr>
        <w:t>四、</w:t>
      </w:r>
      <w:r>
        <w:rPr>
          <w:rFonts w:hint="eastAsia" w:hAnsi="宋体"/>
          <w:color w:val="3366FF"/>
          <w:sz w:val="28"/>
          <w:szCs w:val="28"/>
          <w:lang w:val="en-US" w:eastAsia="zh-CN"/>
        </w:rPr>
        <w:t>专业培养能力</w:t>
      </w:r>
    </w:p>
    <w:p>
      <w:pPr>
        <w:spacing w:line="360" w:lineRule="auto"/>
        <w:rPr>
          <w:rFonts w:hint="eastAsia" w:eastAsia="宋体"/>
          <w:color w:val="000000"/>
          <w:sz w:val="22"/>
          <w:szCs w:val="22"/>
          <w:lang w:val="en-US" w:eastAsia="zh-CN"/>
        </w:rPr>
      </w:pPr>
      <w:r>
        <w:rPr>
          <w:rFonts w:hint="eastAsia"/>
          <w:color w:val="000000"/>
          <w:sz w:val="22"/>
          <w:szCs w:val="22"/>
        </w:rPr>
        <w:t>1.</w:t>
      </w:r>
      <w:r>
        <w:rPr>
          <w:rFonts w:hint="eastAsia" w:hAnsi="宋体"/>
          <w:color w:val="000000"/>
          <w:sz w:val="22"/>
          <w:szCs w:val="22"/>
          <w:lang w:val="en-US" w:eastAsia="zh-CN"/>
        </w:rPr>
        <w:t>专业培养目标</w:t>
      </w:r>
      <w:r>
        <w:rPr>
          <w:rFonts w:hint="eastAsia"/>
          <w:color w:val="000000"/>
          <w:sz w:val="22"/>
          <w:szCs w:val="22"/>
        </w:rPr>
        <w:t>…………………………………………………………………………… 1</w:t>
      </w:r>
      <w:r>
        <w:rPr>
          <w:rFonts w:hint="eastAsia"/>
          <w:color w:val="000000"/>
          <w:sz w:val="22"/>
          <w:szCs w:val="22"/>
          <w:lang w:val="en-US" w:eastAsia="zh-CN"/>
        </w:rPr>
        <w:t>6</w:t>
      </w:r>
    </w:p>
    <w:p>
      <w:pPr>
        <w:spacing w:line="360" w:lineRule="auto"/>
        <w:rPr>
          <w:rFonts w:hint="eastAsia" w:eastAsia="宋体"/>
          <w:color w:val="000000"/>
          <w:sz w:val="22"/>
          <w:szCs w:val="22"/>
          <w:lang w:val="en-US" w:eastAsia="zh-CN"/>
        </w:rPr>
      </w:pPr>
      <w:r>
        <w:rPr>
          <w:rFonts w:hint="eastAsia"/>
          <w:color w:val="000000"/>
          <w:sz w:val="22"/>
          <w:szCs w:val="22"/>
        </w:rPr>
        <w:t>2.</w:t>
      </w:r>
      <w:r>
        <w:rPr>
          <w:rFonts w:hint="eastAsia"/>
          <w:color w:val="000000"/>
          <w:sz w:val="22"/>
          <w:szCs w:val="22"/>
          <w:lang w:val="en-US" w:eastAsia="zh-CN"/>
        </w:rPr>
        <w:t>教学条件</w:t>
      </w:r>
      <w:r>
        <w:rPr>
          <w:rFonts w:hint="eastAsia"/>
          <w:color w:val="000000"/>
          <w:sz w:val="22"/>
          <w:szCs w:val="22"/>
        </w:rPr>
        <w:t>………………………………………………………………………………… 1</w:t>
      </w:r>
      <w:r>
        <w:rPr>
          <w:rFonts w:hint="eastAsia"/>
          <w:color w:val="000000"/>
          <w:sz w:val="22"/>
          <w:szCs w:val="22"/>
          <w:lang w:val="en-US" w:eastAsia="zh-CN"/>
        </w:rPr>
        <w:t>6</w:t>
      </w:r>
    </w:p>
    <w:p>
      <w:pPr>
        <w:spacing w:line="360" w:lineRule="auto"/>
        <w:rPr>
          <w:rFonts w:hint="eastAsia"/>
          <w:color w:val="000000"/>
          <w:sz w:val="22"/>
          <w:szCs w:val="22"/>
          <w:lang w:val="en-US" w:eastAsia="zh-CN"/>
        </w:rPr>
      </w:pPr>
      <w:r>
        <w:rPr>
          <w:rFonts w:hint="eastAsia"/>
          <w:color w:val="000000"/>
          <w:sz w:val="22"/>
          <w:szCs w:val="22"/>
        </w:rPr>
        <w:t>3.</w:t>
      </w:r>
      <w:r>
        <w:rPr>
          <w:rFonts w:hint="eastAsia"/>
          <w:color w:val="000000"/>
          <w:sz w:val="22"/>
          <w:szCs w:val="22"/>
          <w:lang w:val="en-US" w:eastAsia="zh-CN"/>
        </w:rPr>
        <w:t>人才培养</w:t>
      </w:r>
      <w:r>
        <w:rPr>
          <w:rFonts w:hint="eastAsia"/>
          <w:color w:val="000000"/>
          <w:sz w:val="22"/>
          <w:szCs w:val="22"/>
        </w:rPr>
        <w:t xml:space="preserve">………………………………………………………………………………… </w:t>
      </w:r>
      <w:r>
        <w:rPr>
          <w:rFonts w:hint="eastAsia"/>
          <w:color w:val="000000"/>
          <w:sz w:val="22"/>
          <w:szCs w:val="22"/>
          <w:lang w:val="en-US" w:eastAsia="zh-CN"/>
        </w:rPr>
        <w:t>17</w:t>
      </w:r>
    </w:p>
    <w:p>
      <w:pPr>
        <w:spacing w:line="360" w:lineRule="auto"/>
        <w:rPr>
          <w:rFonts w:hint="eastAsia"/>
          <w:color w:val="000000"/>
          <w:sz w:val="22"/>
          <w:szCs w:val="22"/>
          <w:lang w:val="en-US" w:eastAsia="zh-CN"/>
        </w:rPr>
      </w:pPr>
    </w:p>
    <w:p>
      <w:pPr>
        <w:numPr>
          <w:ilvl w:val="0"/>
          <w:numId w:val="1"/>
        </w:numPr>
        <w:spacing w:line="360" w:lineRule="auto"/>
        <w:rPr>
          <w:rFonts w:hint="eastAsia" w:hAnsi="宋体"/>
          <w:color w:val="3366FF"/>
          <w:sz w:val="28"/>
          <w:szCs w:val="28"/>
          <w:lang w:val="en-US" w:eastAsia="zh-CN"/>
        </w:rPr>
      </w:pPr>
      <w:r>
        <w:rPr>
          <w:rFonts w:hint="eastAsia" w:hAnsi="宋体"/>
          <w:color w:val="3366FF"/>
          <w:sz w:val="28"/>
          <w:szCs w:val="28"/>
          <w:lang w:val="en-US" w:eastAsia="zh-CN"/>
        </w:rPr>
        <w:t>质量保障体系</w:t>
      </w:r>
    </w:p>
    <w:p>
      <w:pPr>
        <w:spacing w:line="360" w:lineRule="auto"/>
        <w:rPr>
          <w:rFonts w:hint="eastAsia" w:eastAsia="宋体"/>
          <w:color w:val="000000"/>
          <w:sz w:val="22"/>
          <w:szCs w:val="22"/>
          <w:lang w:val="en-US" w:eastAsia="zh-CN"/>
        </w:rPr>
      </w:pPr>
      <w:r>
        <w:rPr>
          <w:rFonts w:hint="eastAsia"/>
          <w:color w:val="000000"/>
          <w:sz w:val="22"/>
          <w:szCs w:val="22"/>
        </w:rPr>
        <w:t>1.</w:t>
      </w:r>
      <w:r>
        <w:rPr>
          <w:rFonts w:hint="eastAsia" w:hAnsi="宋体"/>
          <w:color w:val="000000"/>
          <w:sz w:val="22"/>
          <w:szCs w:val="22"/>
          <w:lang w:val="en-US" w:eastAsia="zh-CN"/>
        </w:rPr>
        <w:t>教学质量保障体系建设情况</w:t>
      </w:r>
      <w:r>
        <w:rPr>
          <w:rFonts w:hint="eastAsia"/>
          <w:color w:val="000000"/>
          <w:sz w:val="22"/>
          <w:szCs w:val="22"/>
        </w:rPr>
        <w:t>…………………………………………………………… 1</w:t>
      </w:r>
      <w:r>
        <w:rPr>
          <w:rFonts w:hint="eastAsia"/>
          <w:color w:val="000000"/>
          <w:sz w:val="22"/>
          <w:szCs w:val="22"/>
          <w:lang w:val="en-US" w:eastAsia="zh-CN"/>
        </w:rPr>
        <w:t>7</w:t>
      </w:r>
    </w:p>
    <w:p>
      <w:pPr>
        <w:spacing w:line="360" w:lineRule="auto"/>
        <w:rPr>
          <w:rFonts w:hint="eastAsia" w:eastAsia="宋体"/>
          <w:color w:val="000000"/>
          <w:sz w:val="22"/>
          <w:szCs w:val="22"/>
          <w:lang w:val="en-US" w:eastAsia="zh-CN"/>
        </w:rPr>
      </w:pPr>
      <w:r>
        <w:rPr>
          <w:rFonts w:hint="eastAsia"/>
          <w:color w:val="000000"/>
          <w:sz w:val="22"/>
          <w:szCs w:val="22"/>
        </w:rPr>
        <w:t>2.</w:t>
      </w:r>
      <w:r>
        <w:rPr>
          <w:rFonts w:hint="eastAsia"/>
          <w:color w:val="000000"/>
          <w:sz w:val="22"/>
          <w:szCs w:val="22"/>
          <w:lang w:val="en-US" w:eastAsia="zh-CN"/>
        </w:rPr>
        <w:t>临床实习教学质量监控</w:t>
      </w:r>
      <w:r>
        <w:rPr>
          <w:rFonts w:hint="eastAsia"/>
          <w:color w:val="000000"/>
          <w:sz w:val="22"/>
          <w:szCs w:val="22"/>
        </w:rPr>
        <w:t xml:space="preserve">………………………………………………………………… </w:t>
      </w:r>
      <w:r>
        <w:rPr>
          <w:rFonts w:hint="eastAsia"/>
          <w:color w:val="000000"/>
          <w:sz w:val="22"/>
          <w:szCs w:val="22"/>
          <w:lang w:val="en-US" w:eastAsia="zh-CN"/>
        </w:rPr>
        <w:t>20</w:t>
      </w:r>
    </w:p>
    <w:p>
      <w:pPr>
        <w:spacing w:line="360" w:lineRule="auto"/>
        <w:rPr>
          <w:rFonts w:hint="eastAsia"/>
          <w:color w:val="000000"/>
          <w:sz w:val="22"/>
          <w:szCs w:val="22"/>
          <w:lang w:val="en-US" w:eastAsia="zh-CN"/>
        </w:rPr>
      </w:pPr>
      <w:r>
        <w:rPr>
          <w:rFonts w:hint="eastAsia"/>
          <w:color w:val="000000"/>
          <w:sz w:val="22"/>
          <w:szCs w:val="22"/>
        </w:rPr>
        <w:t>3.</w:t>
      </w:r>
      <w:r>
        <w:rPr>
          <w:rFonts w:hint="eastAsia"/>
          <w:color w:val="000000"/>
          <w:sz w:val="22"/>
          <w:szCs w:val="22"/>
          <w:lang w:val="en-US" w:eastAsia="zh-CN"/>
        </w:rPr>
        <w:t>考试管理与监控</w:t>
      </w:r>
      <w:r>
        <w:rPr>
          <w:rFonts w:hint="eastAsia"/>
          <w:color w:val="000000"/>
          <w:sz w:val="22"/>
          <w:szCs w:val="22"/>
        </w:rPr>
        <w:t xml:space="preserve">………………………………………………………………………… </w:t>
      </w:r>
      <w:r>
        <w:rPr>
          <w:rFonts w:hint="eastAsia"/>
          <w:color w:val="000000"/>
          <w:sz w:val="22"/>
          <w:szCs w:val="22"/>
          <w:lang w:val="en-US" w:eastAsia="zh-CN"/>
        </w:rPr>
        <w:t>20</w:t>
      </w:r>
    </w:p>
    <w:p>
      <w:pPr>
        <w:spacing w:line="360" w:lineRule="auto"/>
        <w:rPr>
          <w:rFonts w:hint="eastAsia"/>
          <w:color w:val="000000"/>
          <w:sz w:val="22"/>
          <w:szCs w:val="22"/>
          <w:lang w:val="en-US" w:eastAsia="zh-CN"/>
        </w:rPr>
      </w:pPr>
    </w:p>
    <w:p>
      <w:pPr>
        <w:spacing w:line="360" w:lineRule="auto"/>
        <w:rPr>
          <w:rFonts w:hint="eastAsia"/>
          <w:color w:val="3366FF"/>
          <w:sz w:val="28"/>
          <w:szCs w:val="28"/>
        </w:rPr>
      </w:pPr>
      <w:r>
        <w:rPr>
          <w:rFonts w:hint="eastAsia"/>
          <w:color w:val="3366FF"/>
          <w:sz w:val="28"/>
          <w:szCs w:val="28"/>
          <w:lang w:val="en-US"/>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518160</wp:posOffset>
                </wp:positionV>
                <wp:extent cx="7712710" cy="457200"/>
                <wp:effectExtent l="0" t="0" r="2540" b="0"/>
                <wp:wrapNone/>
                <wp:docPr id="2" name="未知"/>
                <wp:cNvGraphicFramePr/>
                <a:graphic xmlns:a="http://schemas.openxmlformats.org/drawingml/2006/main">
                  <a:graphicData uri="http://schemas.microsoft.com/office/word/2010/wordprocessingShape">
                    <wps:wsp>
                      <wps:cNvSpPr/>
                      <wps:spPr>
                        <a:xfrm>
                          <a:off x="0" y="0"/>
                          <a:ext cx="7712710" cy="457200"/>
                        </a:xfrm>
                        <a:custGeom>
                          <a:avLst/>
                          <a:gdLst/>
                          <a:ahLst/>
                          <a:cxnLst/>
                          <a:pathLst>
                            <a:path w="11906" h="720">
                              <a:moveTo>
                                <a:pt x="0" y="0"/>
                              </a:moveTo>
                              <a:lnTo>
                                <a:pt x="11906" y="0"/>
                              </a:lnTo>
                              <a:lnTo>
                                <a:pt x="11906" y="720"/>
                              </a:lnTo>
                              <a:lnTo>
                                <a:pt x="0" y="720"/>
                              </a:lnTo>
                              <a:lnTo>
                                <a:pt x="0" y="0"/>
                              </a:lnTo>
                              <a:close/>
                            </a:path>
                          </a:pathLst>
                        </a:custGeom>
                        <a:solidFill>
                          <a:srgbClr val="2056AE">
                            <a:alpha val="100000"/>
                          </a:srgbClr>
                        </a:solidFill>
                        <a:ln w="9525">
                          <a:noFill/>
                        </a:ln>
                      </wps:spPr>
                      <wps:bodyPr wrap="square" upright="1"/>
                    </wps:wsp>
                  </a:graphicData>
                </a:graphic>
              </wp:anchor>
            </w:drawing>
          </mc:Choice>
          <mc:Fallback>
            <w:pict>
              <v:shape id="未知" o:spid="_x0000_s1026" o:spt="100" style="position:absolute;left:0pt;margin-left:0pt;margin-top:40.8pt;height:36pt;width:607.3pt;mso-position-horizontal-relative:page;mso-position-vertical-relative:page;z-index:-251657216;mso-width-relative:page;mso-height-relative:page;" fillcolor="#2056AE" filled="t" stroked="f" coordsize="11906,720" o:gfxdata="UEsDBAoAAAAAAIdO4kAAAAAAAAAAAAAAAAAEAAAAZHJzL1BLAwQUAAAACACHTuJAd5NZfdcAAAAI&#10;AQAADwAAAGRycy9kb3ducmV2LnhtbE2PT0vDQBDF74LfYRnBm91No6HEbAoKBaGCWMXS2yQZk9Ds&#10;bMhu//jtnZ709ob3ePN7xfLsBnWkKfSeLSQzA4q49k3PrYXPj9XdAlSIyA0OnsnCDwVYltdXBeaN&#10;P/E7HTexVVLCIUcLXYxjrnWoO3IYZn4kFu/bTw6jnFOrmwlPUu4GPTcm0w57lg8djvTcUb3fHJyF&#10;lzb4t9Vr2n9tn3ZVymG9N7i29vYmMY+gIp3jXxgu+IIOpTBV/sBNUIMFGRItLJIM1MWdJ/eiKlEP&#10;aQa6LPT/AeUvUEsDBBQAAAAIAIdO4kClx7y6BwIAAGMEAAAOAAAAZHJzL2Uyb0RvYy54bWytVM2O&#10;0zAQviPxDpbvND+iLRs1XSGW5YJgpV0ewHWcxJJjG4+btO+CxIkLDwavwdhJ2lIuCNGDPba/fDPf&#10;53E3t4dOkV44kEaXNFuklAjNTSV1U9JPT/cvXlECnumKKaNFSY8C6O32+bPNYAuRm9aoSjiCJBqK&#10;wZa09d4WSQK8FR2DhbFC42FtXMc8Ll2TVI4NyN6pJE/TVTIYV1lnuADA3bvxkG4jf10L7j/WNQhP&#10;VEmxNh9HF8ddGJPthhWNY7aVfCqD/UMVHZMak56o7phnZO/kH1Sd5M6Aqf2Cmy4xdS25iBpQTZZe&#10;qXlsmRVRC5oD9mQT/D9a/qF/cERWJc0p0azDK/rx5fvPr9+CM4OFAgGP9sFNK8AwyDzUrgszCiCH&#10;6Obx5KY4eMJxc73O8nWGpnM8e7lc43UF0uT8Nd+DfydMZGL9e/DjbVRzxNo54gc9h5b5sB2yh5AM&#10;2HbZTbqipMWceRqvoTO9eDIR468KxPznU6UvURPPLAWR8/k828h2xoV8o6YZMc8jEtUj29+hrpm4&#10;MiBG8iA0OncSj7VdugdGyepeKhUkg2t2b5QjPcOmz9Pl6vXbaApTtmXjbpaG31T6hI8JfiNSOrh7&#10;s8yX8XttQoZZLsJDf4wdEaKdqY7YSwM+ppLC5z1zgpK9dbJp8dllMVnAYSfHVNOrC0/lch15z/8N&#10;2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3k1l91wAAAAgBAAAPAAAAAAAAAAEAIAAAACIAAABk&#10;cnMvZG93bnJldi54bWxQSwECFAAUAAAACACHTuJApce8ugcCAABjBAAADgAAAAAAAAABACAAAAAm&#10;AQAAZHJzL2Uyb0RvYy54bWxQSwUGAAAAAAYABgBZAQAAnwUAAAAA&#10;" path="m0,0l11906,0,11906,720,0,720,0,0xe">
                <v:fill on="t" focussize="0,0"/>
                <v:stroke on="f"/>
                <v:imagedata o:title=""/>
                <o:lock v:ext="edit" aspectratio="f"/>
              </v:shape>
            </w:pict>
          </mc:Fallback>
        </mc:AlternateContent>
      </w:r>
      <w:r>
        <w:rPr>
          <w:rFonts w:hint="eastAsia"/>
          <w:color w:val="3366FF"/>
          <w:sz w:val="28"/>
          <w:szCs w:val="28"/>
          <w:lang w:val="en-US"/>
        </w:rPr>
        <mc:AlternateContent>
          <mc:Choice Requires="wps">
            <w:drawing>
              <wp:anchor distT="0" distB="0" distL="114300" distR="114300" simplePos="0" relativeHeight="251660288" behindDoc="1" locked="0" layoutInCell="1" allowOverlap="1">
                <wp:simplePos x="0" y="0"/>
                <wp:positionH relativeFrom="page">
                  <wp:posOffset>0</wp:posOffset>
                </wp:positionH>
                <wp:positionV relativeFrom="page">
                  <wp:posOffset>518160</wp:posOffset>
                </wp:positionV>
                <wp:extent cx="7712710" cy="457200"/>
                <wp:effectExtent l="0" t="0" r="2540" b="0"/>
                <wp:wrapNone/>
                <wp:docPr id="3" name="未知"/>
                <wp:cNvGraphicFramePr/>
                <a:graphic xmlns:a="http://schemas.openxmlformats.org/drawingml/2006/main">
                  <a:graphicData uri="http://schemas.microsoft.com/office/word/2010/wordprocessingShape">
                    <wps:wsp>
                      <wps:cNvSpPr/>
                      <wps:spPr>
                        <a:xfrm>
                          <a:off x="0" y="0"/>
                          <a:ext cx="7712710" cy="457200"/>
                        </a:xfrm>
                        <a:custGeom>
                          <a:avLst/>
                          <a:gdLst/>
                          <a:ahLst/>
                          <a:cxnLst/>
                          <a:pathLst>
                            <a:path w="11906" h="720">
                              <a:moveTo>
                                <a:pt x="0" y="0"/>
                              </a:moveTo>
                              <a:lnTo>
                                <a:pt x="11906" y="0"/>
                              </a:lnTo>
                              <a:lnTo>
                                <a:pt x="11906" y="720"/>
                              </a:lnTo>
                              <a:lnTo>
                                <a:pt x="0" y="720"/>
                              </a:lnTo>
                              <a:lnTo>
                                <a:pt x="0" y="0"/>
                              </a:lnTo>
                              <a:close/>
                            </a:path>
                          </a:pathLst>
                        </a:custGeom>
                        <a:solidFill>
                          <a:srgbClr val="2056AE">
                            <a:alpha val="100000"/>
                          </a:srgbClr>
                        </a:solidFill>
                        <a:ln w="9525">
                          <a:noFill/>
                        </a:ln>
                      </wps:spPr>
                      <wps:bodyPr wrap="square" upright="1"/>
                    </wps:wsp>
                  </a:graphicData>
                </a:graphic>
              </wp:anchor>
            </w:drawing>
          </mc:Choice>
          <mc:Fallback>
            <w:pict>
              <v:shape id="未知" o:spid="_x0000_s1026" o:spt="100" style="position:absolute;left:0pt;margin-left:0pt;margin-top:40.8pt;height:36pt;width:607.3pt;mso-position-horizontal-relative:page;mso-position-vertical-relative:page;z-index:-251656192;mso-width-relative:page;mso-height-relative:page;" fillcolor="#2056AE" filled="t" stroked="f" coordsize="11906,720" o:gfxdata="UEsDBAoAAAAAAIdO4kAAAAAAAAAAAAAAAAAEAAAAZHJzL1BLAwQUAAAACACHTuJAd5NZfdcAAAAI&#10;AQAADwAAAGRycy9kb3ducmV2LnhtbE2PT0vDQBDF74LfYRnBm91No6HEbAoKBaGCWMXS2yQZk9Ds&#10;bMhu//jtnZ709ob3ePN7xfLsBnWkKfSeLSQzA4q49k3PrYXPj9XdAlSIyA0OnsnCDwVYltdXBeaN&#10;P/E7HTexVVLCIUcLXYxjrnWoO3IYZn4kFu/bTw6jnFOrmwlPUu4GPTcm0w57lg8djvTcUb3fHJyF&#10;lzb4t9Vr2n9tn3ZVymG9N7i29vYmMY+gIp3jXxgu+IIOpTBV/sBNUIMFGRItLJIM1MWdJ/eiKlEP&#10;aQa6LPT/AeUvUEsDBBQAAAAIAIdO4kBUyK1iCAIAAGMEAAAOAAAAZHJzL2Uyb0RvYy54bWytVMuO&#10;0zAU3SPxD5b3NA9oy0RNR4hh2CAYaYYPcB0nseQXtpuk/4LEig0fxvwG107Sls5mhOjCvrZPzr3n&#10;+Lqb60EK1DHruFYlzhYpRkxRXXHVlPjrw+2rtxg5T1RFhFasxAfm8PX25YtNbwqW61aLilkEJMoV&#10;vSlx670pksTRlkniFtowBYe1tpJ4WNomqSzpgV2KJE/TVdJrWxmrKXMOdm/GQ7yN/HXNqP9S1455&#10;JEoMtfk42jjuwphsN6RoLDEtp1MZ5B+qkIQrSHqkuiGeoL3lT6gkp1Y7XfsF1TLRdc0pixpATZZe&#10;qLlviWFRC5jjzNEm9/9o6efuziJelfg1RopIuKLf3389/vgZnOmNKwBwb+7stHIQBplDbWWYQQAa&#10;opuHo5ts8IjC5nqd5esMTKdw9ma5husKpMnpa7p3/iPTkYl0n5wfb6OaI9LOER3UHBriw3bIHkLU&#10;Q9tlV+kKoxZy5mm8Bqk79qAjxl8UCPlPp0KdoyaeWQog5/N5NpHthAv5Rk0zYp5HJKgHtuehLpmo&#10;0I6N5EFodO4oHmo7d89pwatbLkSQ7Gyzey8s6gg0fZ4uV+8+RFOIMC0Zd7M0/KbSJ3xM8BeRUMHd&#10;q2W+jN8rHTLMcgEe+mPsiBDtdHWAXurhMZXYfdsTyzDaG8ubFp5dFpMFHHRyTDW9uvBUzteR9/Tf&#10;sP0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5NZfdcAAAAIAQAADwAAAAAAAAABACAAAAAiAAAA&#10;ZHJzL2Rvd25yZXYueG1sUEsBAhQAFAAAAAgAh07iQFTIrWIIAgAAYwQAAA4AAAAAAAAAAQAgAAAA&#10;JgEAAGRycy9lMm9Eb2MueG1sUEsFBgAAAAAGAAYAWQEAAKAFAAAAAA==&#10;" path="m0,0l11906,0,11906,720,0,720,0,0xe">
                <v:fill on="t" focussize="0,0"/>
                <v:stroke on="f"/>
                <v:imagedata o:title=""/>
                <o:lock v:ext="edit" aspectratio="f"/>
              </v:shape>
            </w:pict>
          </mc:Fallback>
        </mc:AlternateContent>
      </w:r>
      <w:r>
        <w:rPr>
          <w:rFonts w:hint="eastAsia"/>
          <w:color w:val="3366FF"/>
          <w:sz w:val="28"/>
          <w:szCs w:val="28"/>
          <w:lang w:val="en-US" w:eastAsia="zh-CN"/>
        </w:rPr>
        <w:t>六</w:t>
      </w:r>
      <w:r>
        <w:rPr>
          <w:rFonts w:hint="eastAsia" w:hAnsi="宋体"/>
          <w:color w:val="3366FF"/>
          <w:sz w:val="28"/>
          <w:szCs w:val="28"/>
        </w:rPr>
        <w:t>、学生学习效果</w:t>
      </w:r>
      <w:r>
        <w:rPr>
          <w:rFonts w:hint="eastAsia"/>
          <w:color w:val="3366FF"/>
          <w:sz w:val="28"/>
          <w:szCs w:val="28"/>
        </w:rPr>
        <w:t xml:space="preserve"> </w:t>
      </w:r>
    </w:p>
    <w:p>
      <w:pPr>
        <w:spacing w:line="360" w:lineRule="auto"/>
        <w:rPr>
          <w:rFonts w:hint="eastAsia" w:eastAsia="宋体"/>
          <w:color w:val="000000"/>
          <w:sz w:val="22"/>
          <w:szCs w:val="22"/>
          <w:lang w:val="en-US" w:eastAsia="zh-CN"/>
        </w:rPr>
      </w:pPr>
      <w:r>
        <w:rPr>
          <w:rFonts w:hint="eastAsia"/>
          <w:color w:val="000000"/>
          <w:sz w:val="22"/>
          <w:szCs w:val="22"/>
        </w:rPr>
        <w:t>1.</w:t>
      </w:r>
      <w:r>
        <w:rPr>
          <w:rFonts w:hint="eastAsia" w:hAnsi="宋体"/>
          <w:color w:val="000000"/>
          <w:sz w:val="22"/>
          <w:szCs w:val="22"/>
        </w:rPr>
        <w:t>学生学习满意度</w:t>
      </w:r>
      <w:r>
        <w:rPr>
          <w:rFonts w:hint="eastAsia"/>
          <w:color w:val="000000"/>
          <w:sz w:val="22"/>
          <w:szCs w:val="22"/>
        </w:rPr>
        <w:t xml:space="preserve">………………………………………………………………………… </w:t>
      </w:r>
      <w:r>
        <w:rPr>
          <w:rFonts w:hint="eastAsia"/>
          <w:color w:val="000000"/>
          <w:sz w:val="22"/>
          <w:szCs w:val="22"/>
          <w:lang w:val="en-US" w:eastAsia="zh-CN"/>
        </w:rPr>
        <w:t>21</w:t>
      </w:r>
    </w:p>
    <w:p>
      <w:pPr>
        <w:spacing w:line="360" w:lineRule="auto"/>
        <w:rPr>
          <w:rFonts w:hint="eastAsia" w:eastAsia="宋体"/>
          <w:color w:val="000000"/>
          <w:sz w:val="22"/>
          <w:szCs w:val="22"/>
          <w:lang w:val="en-US" w:eastAsia="zh-CN"/>
        </w:rPr>
      </w:pPr>
      <w:r>
        <w:rPr>
          <w:rFonts w:hint="eastAsia"/>
          <w:color w:val="000000"/>
          <w:sz w:val="22"/>
          <w:szCs w:val="22"/>
        </w:rPr>
        <w:t>2.</w:t>
      </w:r>
      <w:r>
        <w:rPr>
          <w:rFonts w:hint="eastAsia" w:hAnsi="宋体"/>
          <w:color w:val="000000"/>
          <w:sz w:val="22"/>
          <w:szCs w:val="22"/>
        </w:rPr>
        <w:t>毕业与就业</w:t>
      </w:r>
      <w:r>
        <w:rPr>
          <w:rFonts w:hint="eastAsia"/>
          <w:color w:val="000000"/>
          <w:sz w:val="22"/>
          <w:szCs w:val="22"/>
        </w:rPr>
        <w:t xml:space="preserve">……………………………………………………………………………… </w:t>
      </w:r>
      <w:r>
        <w:rPr>
          <w:rFonts w:hint="eastAsia"/>
          <w:color w:val="000000"/>
          <w:sz w:val="22"/>
          <w:szCs w:val="22"/>
          <w:lang w:val="en-US" w:eastAsia="zh-CN"/>
        </w:rPr>
        <w:t>21</w:t>
      </w:r>
    </w:p>
    <w:p>
      <w:pPr>
        <w:spacing w:line="360" w:lineRule="auto"/>
        <w:rPr>
          <w:rFonts w:hint="eastAsia"/>
          <w:sz w:val="22"/>
          <w:szCs w:val="22"/>
        </w:rPr>
      </w:pPr>
    </w:p>
    <w:p>
      <w:pPr>
        <w:spacing w:line="360" w:lineRule="auto"/>
        <w:rPr>
          <w:rFonts w:hint="eastAsia"/>
          <w:color w:val="3366FF"/>
          <w:sz w:val="28"/>
          <w:szCs w:val="28"/>
        </w:rPr>
      </w:pPr>
      <w:r>
        <w:rPr>
          <w:rFonts w:hint="eastAsia" w:hAnsi="宋体"/>
          <w:color w:val="3366FF"/>
          <w:sz w:val="28"/>
          <w:szCs w:val="28"/>
          <w:lang w:val="en-US" w:eastAsia="zh-CN"/>
        </w:rPr>
        <w:t>七</w:t>
      </w:r>
      <w:r>
        <w:rPr>
          <w:rFonts w:hint="eastAsia" w:hAnsi="宋体"/>
          <w:color w:val="3366FF"/>
          <w:sz w:val="28"/>
          <w:szCs w:val="28"/>
        </w:rPr>
        <w:t>、特色发展</w:t>
      </w:r>
    </w:p>
    <w:p>
      <w:pPr>
        <w:spacing w:line="360" w:lineRule="auto"/>
        <w:rPr>
          <w:rFonts w:hint="eastAsia" w:eastAsia="宋体"/>
          <w:color w:val="000000"/>
          <w:sz w:val="22"/>
          <w:szCs w:val="22"/>
          <w:lang w:val="en-US" w:eastAsia="zh-CN"/>
        </w:rPr>
      </w:pPr>
      <w:r>
        <w:rPr>
          <w:rFonts w:hint="eastAsia"/>
          <w:color w:val="000000"/>
          <w:sz w:val="22"/>
          <w:szCs w:val="22"/>
        </w:rPr>
        <w:t>1.</w:t>
      </w:r>
      <w:r>
        <w:rPr>
          <w:rFonts w:hint="eastAsia" w:hAnsi="宋体"/>
          <w:color w:val="000000"/>
          <w:sz w:val="22"/>
          <w:szCs w:val="22"/>
        </w:rPr>
        <w:t>继承革命传统，弘扬长征精神</w:t>
      </w:r>
      <w:r>
        <w:rPr>
          <w:rFonts w:hint="eastAsia"/>
          <w:color w:val="000000"/>
          <w:sz w:val="22"/>
          <w:szCs w:val="22"/>
        </w:rPr>
        <w:t xml:space="preserve">………………………………………………………… </w:t>
      </w:r>
      <w:r>
        <w:rPr>
          <w:rFonts w:hint="eastAsia"/>
          <w:color w:val="000000"/>
          <w:sz w:val="22"/>
          <w:szCs w:val="22"/>
          <w:lang w:val="en-US" w:eastAsia="zh-CN"/>
        </w:rPr>
        <w:t>22</w:t>
      </w:r>
    </w:p>
    <w:p>
      <w:pPr>
        <w:spacing w:line="360" w:lineRule="auto"/>
        <w:rPr>
          <w:rFonts w:hint="eastAsia" w:eastAsia="宋体"/>
          <w:color w:val="000000"/>
          <w:sz w:val="22"/>
          <w:szCs w:val="22"/>
          <w:lang w:val="en-US" w:eastAsia="zh-CN"/>
        </w:rPr>
      </w:pPr>
      <w:r>
        <w:rPr>
          <w:rFonts w:hint="eastAsia"/>
          <w:color w:val="000000"/>
          <w:sz w:val="22"/>
          <w:szCs w:val="22"/>
        </w:rPr>
        <w:t>2.</w:t>
      </w:r>
      <w:r>
        <w:rPr>
          <w:rFonts w:hint="eastAsia" w:hAnsi="宋体"/>
          <w:color w:val="000000"/>
          <w:sz w:val="22"/>
          <w:szCs w:val="22"/>
        </w:rPr>
        <w:t>注重实践教育</w:t>
      </w:r>
      <w:r>
        <w:rPr>
          <w:rFonts w:hint="eastAsia"/>
          <w:color w:val="000000"/>
          <w:sz w:val="22"/>
          <w:szCs w:val="22"/>
        </w:rPr>
        <w:t xml:space="preserve">…………………………………………………………………………… </w:t>
      </w:r>
      <w:r>
        <w:rPr>
          <w:rFonts w:hint="eastAsia"/>
          <w:color w:val="000000"/>
          <w:sz w:val="22"/>
          <w:szCs w:val="22"/>
          <w:lang w:val="en-US" w:eastAsia="zh-CN"/>
        </w:rPr>
        <w:t>22</w:t>
      </w:r>
    </w:p>
    <w:p>
      <w:pPr>
        <w:spacing w:line="360" w:lineRule="auto"/>
        <w:rPr>
          <w:rFonts w:hint="eastAsia" w:eastAsia="宋体"/>
          <w:color w:val="000000"/>
          <w:sz w:val="22"/>
          <w:szCs w:val="22"/>
          <w:lang w:val="en-US" w:eastAsia="zh-CN"/>
        </w:rPr>
      </w:pPr>
      <w:r>
        <w:rPr>
          <w:rFonts w:hint="eastAsia"/>
          <w:color w:val="000000"/>
          <w:sz w:val="22"/>
          <w:szCs w:val="22"/>
        </w:rPr>
        <w:t>3.</w:t>
      </w:r>
      <w:r>
        <w:rPr>
          <w:rFonts w:hint="eastAsia" w:hAnsi="宋体"/>
          <w:color w:val="000000"/>
          <w:sz w:val="22"/>
          <w:szCs w:val="22"/>
        </w:rPr>
        <w:t>积极推进课程形成性考核评价</w:t>
      </w:r>
      <w:r>
        <w:rPr>
          <w:rFonts w:hint="eastAsia"/>
          <w:color w:val="000000"/>
          <w:sz w:val="22"/>
          <w:szCs w:val="22"/>
        </w:rPr>
        <w:t xml:space="preserve">………………………………………………………… </w:t>
      </w:r>
      <w:r>
        <w:rPr>
          <w:rFonts w:hint="eastAsia"/>
          <w:color w:val="000000"/>
          <w:sz w:val="22"/>
          <w:szCs w:val="22"/>
          <w:lang w:val="en-US" w:eastAsia="zh-CN"/>
        </w:rPr>
        <w:t>23</w:t>
      </w:r>
    </w:p>
    <w:p>
      <w:pPr>
        <w:spacing w:line="360" w:lineRule="auto"/>
        <w:rPr>
          <w:rFonts w:hint="eastAsia" w:eastAsia="宋体"/>
          <w:color w:val="000000"/>
          <w:sz w:val="22"/>
          <w:szCs w:val="22"/>
          <w:lang w:val="en-US" w:eastAsia="zh-CN"/>
        </w:rPr>
      </w:pPr>
      <w:r>
        <w:rPr>
          <w:rFonts w:hint="eastAsia"/>
          <w:color w:val="000000"/>
          <w:sz w:val="22"/>
          <w:szCs w:val="22"/>
        </w:rPr>
        <w:t>4.</w:t>
      </w:r>
      <w:r>
        <w:rPr>
          <w:rFonts w:hint="eastAsia" w:hAnsi="宋体"/>
          <w:color w:val="000000"/>
          <w:sz w:val="22"/>
          <w:szCs w:val="22"/>
        </w:rPr>
        <w:t>为基层培养高素质应用型人才</w:t>
      </w:r>
      <w:r>
        <w:rPr>
          <w:rFonts w:hint="eastAsia"/>
          <w:color w:val="000000"/>
          <w:sz w:val="22"/>
          <w:szCs w:val="22"/>
        </w:rPr>
        <w:t xml:space="preserve">………………………………………………………… </w:t>
      </w:r>
      <w:r>
        <w:rPr>
          <w:rFonts w:hint="eastAsia"/>
          <w:color w:val="000000"/>
          <w:sz w:val="22"/>
          <w:szCs w:val="22"/>
          <w:lang w:val="en-US" w:eastAsia="zh-CN"/>
        </w:rPr>
        <w:t>23</w:t>
      </w:r>
    </w:p>
    <w:p>
      <w:pPr>
        <w:spacing w:line="360" w:lineRule="auto"/>
        <w:rPr>
          <w:rFonts w:hint="eastAsia"/>
          <w:sz w:val="22"/>
          <w:szCs w:val="22"/>
        </w:rPr>
      </w:pPr>
    </w:p>
    <w:p>
      <w:pPr>
        <w:spacing w:line="360" w:lineRule="auto"/>
        <w:rPr>
          <w:rFonts w:hint="eastAsia"/>
          <w:color w:val="3366FF"/>
          <w:sz w:val="28"/>
          <w:szCs w:val="28"/>
        </w:rPr>
      </w:pPr>
      <w:r>
        <w:rPr>
          <w:rFonts w:hint="eastAsia" w:hAnsi="宋体"/>
          <w:color w:val="3366FF"/>
          <w:sz w:val="28"/>
          <w:szCs w:val="28"/>
          <w:lang w:val="en-US" w:eastAsia="zh-CN"/>
        </w:rPr>
        <w:t>八</w:t>
      </w:r>
      <w:r>
        <w:rPr>
          <w:rFonts w:hint="eastAsia" w:hAnsi="宋体"/>
          <w:color w:val="3366FF"/>
          <w:sz w:val="28"/>
          <w:szCs w:val="28"/>
        </w:rPr>
        <w:t>、需要解决的问题与对策</w:t>
      </w:r>
    </w:p>
    <w:p>
      <w:pPr>
        <w:spacing w:line="360" w:lineRule="auto"/>
        <w:rPr>
          <w:rFonts w:hint="eastAsia" w:eastAsia="宋体"/>
          <w:color w:val="000000"/>
          <w:sz w:val="22"/>
          <w:szCs w:val="22"/>
          <w:lang w:val="en-US" w:eastAsia="zh-CN"/>
        </w:rPr>
      </w:pPr>
      <w:r>
        <w:rPr>
          <w:rFonts w:hint="eastAsia"/>
          <w:color w:val="000000"/>
          <w:sz w:val="22"/>
          <w:szCs w:val="22"/>
        </w:rPr>
        <w:t>1.</w:t>
      </w:r>
      <w:r>
        <w:rPr>
          <w:rFonts w:hint="eastAsia" w:hAnsi="宋体"/>
          <w:color w:val="000000"/>
          <w:sz w:val="22"/>
          <w:szCs w:val="22"/>
        </w:rPr>
        <w:t>学院师资结构尚待改善</w:t>
      </w:r>
      <w:r>
        <w:rPr>
          <w:rFonts w:hint="eastAsia"/>
          <w:color w:val="000000"/>
          <w:sz w:val="22"/>
          <w:szCs w:val="22"/>
        </w:rPr>
        <w:t xml:space="preserve">………………………………………………………………… </w:t>
      </w:r>
      <w:r>
        <w:rPr>
          <w:rFonts w:hint="eastAsia"/>
          <w:color w:val="000000"/>
          <w:sz w:val="22"/>
          <w:szCs w:val="22"/>
          <w:lang w:val="en-US" w:eastAsia="zh-CN"/>
        </w:rPr>
        <w:t>23</w:t>
      </w:r>
    </w:p>
    <w:p>
      <w:pPr>
        <w:spacing w:line="360" w:lineRule="auto"/>
        <w:rPr>
          <w:rFonts w:hint="eastAsia" w:eastAsia="宋体"/>
          <w:color w:val="000000"/>
          <w:sz w:val="22"/>
          <w:szCs w:val="22"/>
          <w:lang w:val="en-US" w:eastAsia="zh-CN"/>
        </w:rPr>
      </w:pPr>
      <w:r>
        <w:rPr>
          <w:rFonts w:hint="eastAsia"/>
          <w:color w:val="000000"/>
          <w:sz w:val="22"/>
          <w:szCs w:val="22"/>
          <w:lang/>
        </w:rPr>
        <mc:AlternateContent>
          <mc:Choice Requires="wps">
            <w:drawing>
              <wp:anchor distT="0" distB="0" distL="114300" distR="114300" simplePos="0" relativeHeight="251661312" behindDoc="1" locked="0" layoutInCell="1" allowOverlap="1">
                <wp:simplePos x="0" y="0"/>
                <wp:positionH relativeFrom="page">
                  <wp:posOffset>-1905</wp:posOffset>
                </wp:positionH>
                <wp:positionV relativeFrom="page">
                  <wp:posOffset>518160</wp:posOffset>
                </wp:positionV>
                <wp:extent cx="7712710" cy="457200"/>
                <wp:effectExtent l="0" t="0" r="2540" b="0"/>
                <wp:wrapNone/>
                <wp:docPr id="4" name="未知"/>
                <wp:cNvGraphicFramePr/>
                <a:graphic xmlns:a="http://schemas.openxmlformats.org/drawingml/2006/main">
                  <a:graphicData uri="http://schemas.microsoft.com/office/word/2010/wordprocessingShape">
                    <wps:wsp>
                      <wps:cNvSpPr/>
                      <wps:spPr>
                        <a:xfrm>
                          <a:off x="0" y="0"/>
                          <a:ext cx="7712710" cy="457200"/>
                        </a:xfrm>
                        <a:custGeom>
                          <a:avLst/>
                          <a:gdLst/>
                          <a:ahLst/>
                          <a:cxnLst/>
                          <a:pathLst>
                            <a:path w="11906" h="720">
                              <a:moveTo>
                                <a:pt x="0" y="0"/>
                              </a:moveTo>
                              <a:lnTo>
                                <a:pt x="11906" y="0"/>
                              </a:lnTo>
                              <a:lnTo>
                                <a:pt x="11906" y="720"/>
                              </a:lnTo>
                              <a:lnTo>
                                <a:pt x="0" y="720"/>
                              </a:lnTo>
                              <a:lnTo>
                                <a:pt x="0" y="0"/>
                              </a:lnTo>
                              <a:close/>
                            </a:path>
                          </a:pathLst>
                        </a:custGeom>
                        <a:solidFill>
                          <a:srgbClr val="2056AE">
                            <a:alpha val="100000"/>
                          </a:srgbClr>
                        </a:solidFill>
                        <a:ln w="9525">
                          <a:noFill/>
                        </a:ln>
                      </wps:spPr>
                      <wps:bodyPr wrap="square" upright="1"/>
                    </wps:wsp>
                  </a:graphicData>
                </a:graphic>
              </wp:anchor>
            </w:drawing>
          </mc:Choice>
          <mc:Fallback>
            <w:pict>
              <v:shape id="未知" o:spid="_x0000_s1026" o:spt="100" style="position:absolute;left:0pt;margin-left:-0.15pt;margin-top:40.8pt;height:36pt;width:607.3pt;mso-position-horizontal-relative:page;mso-position-vertical-relative:page;z-index:-251655168;mso-width-relative:page;mso-height-relative:page;" fillcolor="#2056AE" filled="t" stroked="f" coordsize="11906,720" o:gfxdata="UEsDBAoAAAAAAIdO4kAAAAAAAAAAAAAAAAAEAAAAZHJzL1BLAwQUAAAACACHTuJAUcURqdgAAAAJ&#10;AQAADwAAAGRycy9kb3ducmV2LnhtbE2PT0vDQBDF74LfYRnBW7ubRkOJ2RQUCkIFsYribZKMSWh2&#10;NmS3f/z2Tk/2NjPv8eb3itXJDepAU+g9W0jmBhRx7ZueWwsf7+vZElSIyA0OnsnCLwVYlddXBeaN&#10;P/IbHbaxVRLCIUcLXYxjrnWoO3IY5n4kFu3HTw6jrFOrmwmPEu4GvTAm0w57lg8djvTUUb3b7p2F&#10;5zb41/VL2n9+PX5XKYfNzuDG2tubxDyAinSK/2Y44ws6lMJU+T03QQ0WZqkYLSyTDNRZXiR3cqlk&#10;uk8z0GWhLxuUf1BLAwQUAAAACACHTuJAQO1JBwgCAABjBAAADgAAAGRycy9lMm9Eb2MueG1srVTL&#10;jtMwFN0j8Q+W9zQPTVsmajpCDMMGwUgzfIDrOIklv7DdJP0XJFZs+DD4jbl2krZ0NiNEF/a1fXLu&#10;PcfX3dwMUqCOWce1KnG2SDFiiuqKq6bEXx/v3rzFyHmiKiK0YiU+MIdvtq9fbXpTsFy3WlTMIiBR&#10;ruhNiVvvTZEkjrZMErfQhik4rLWVxMPSNkllSQ/sUiR5mq6SXtvKWE2Zc7B7Ox7ibeSva0b9l7p2&#10;zCNRYqjNx9HGcRfGZLshRWOJaTmdyiD/UIUkXEHSI9Ut8QTtLX9GJTm12unaL6iWia5rTlnUAGqy&#10;9ELNQ0sMi1rAHGeONrn/R0s/d/cW8arEVxgpIuGKfn//9efHz+BMb1wBgAdzb6eVgzDIHGorwwwC&#10;0BDdPBzdZINHFDbX6yxfZ2A6hbOr5RquK5Amp6/p3vmPTEcm0n1yfryNao5IO0d0UHNoiA/bIXsI&#10;UQ9tl12nK4xayJmn8Rqk7tijjhh/USDkP50KdY6aeGYpgJzP59lEthMu5Bs1zYh5HpGgHthehrpk&#10;okI7NpIHodG5o3io7dw9pwWv7rgQQbKzze69sKgj0PR5uly9+xBNIcK0ZNzN0vCbSp/wMcFfREIF&#10;d6+X+TJ+r3TIMMsFeOiPsSNCtNPVAXqph8dUYvdtTyzDaG8sb1p4dllMFnDQyTHV9OrCUzlfR97T&#10;f8P2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HFEanYAAAACQEAAA8AAAAAAAAAAQAgAAAAIgAA&#10;AGRycy9kb3ducmV2LnhtbFBLAQIUABQAAAAIAIdO4kBA7UkHCAIAAGMEAAAOAAAAAAAAAAEAIAAA&#10;ACcBAABkcnMvZTJvRG9jLnhtbFBLBQYAAAAABgAGAFkBAAChBQAAAAA=&#10;" path="m0,0l11906,0,11906,720,0,720,0,0xe">
                <v:fill on="t" focussize="0,0"/>
                <v:stroke on="f"/>
                <v:imagedata o:title=""/>
                <o:lock v:ext="edit" aspectratio="f"/>
              </v:shape>
            </w:pict>
          </mc:Fallback>
        </mc:AlternateContent>
      </w:r>
      <w:r>
        <w:rPr>
          <w:rFonts w:hint="eastAsia"/>
          <w:color w:val="000000"/>
          <w:sz w:val="22"/>
          <w:szCs w:val="22"/>
        </w:rPr>
        <w:t>2.</w:t>
      </w:r>
      <w:r>
        <w:rPr>
          <w:rFonts w:hint="eastAsia" w:hAnsi="宋体"/>
          <w:color w:val="000000"/>
          <w:sz w:val="22"/>
          <w:szCs w:val="22"/>
        </w:rPr>
        <w:t>课程形成性评价改革工作的力度还有待于进一步加强</w:t>
      </w:r>
      <w:r>
        <w:rPr>
          <w:rFonts w:hint="eastAsia"/>
          <w:color w:val="000000"/>
          <w:sz w:val="22"/>
          <w:szCs w:val="22"/>
        </w:rPr>
        <w:t xml:space="preserve">……………………………… </w:t>
      </w:r>
      <w:r>
        <w:rPr>
          <w:rFonts w:hint="eastAsia"/>
          <w:color w:val="000000"/>
          <w:sz w:val="22"/>
          <w:szCs w:val="22"/>
          <w:lang w:val="en-US" w:eastAsia="zh-CN"/>
        </w:rPr>
        <w:t>24</w:t>
      </w:r>
    </w:p>
    <w:p>
      <w:pPr>
        <w:spacing w:line="360" w:lineRule="auto"/>
        <w:rPr>
          <w:rFonts w:hint="eastAsia" w:hAnsi="Segoe UI" w:cs="Segoe UI"/>
          <w:b/>
          <w:color w:val="2056AE"/>
          <w:kern w:val="0"/>
          <w:sz w:val="44"/>
          <w:szCs w:val="44"/>
          <w:lang w:val="en-US"/>
        </w:rPr>
      </w:pPr>
      <w:r>
        <w:rPr>
          <w:rFonts w:hint="eastAsia"/>
          <w:color w:val="000000"/>
          <w:sz w:val="22"/>
          <w:szCs w:val="22"/>
        </w:rPr>
        <w:t>3.</w:t>
      </w:r>
      <w:r>
        <w:rPr>
          <w:rFonts w:hAnsi="宋体"/>
          <w:color w:val="000000"/>
          <w:sz w:val="22"/>
          <w:szCs w:val="22"/>
        </w:rPr>
        <w:t>教学</w:t>
      </w:r>
      <w:r>
        <w:rPr>
          <w:rFonts w:hint="eastAsia" w:hAnsi="宋体"/>
          <w:color w:val="000000"/>
          <w:sz w:val="22"/>
          <w:szCs w:val="22"/>
        </w:rPr>
        <w:t xml:space="preserve">内涵建设尚有待于进一步提高 </w:t>
      </w:r>
      <w:r>
        <w:rPr>
          <w:rFonts w:hint="eastAsia"/>
          <w:color w:val="000000"/>
          <w:sz w:val="22"/>
          <w:szCs w:val="22"/>
        </w:rPr>
        <w:t>……………………………………………………</w:t>
      </w:r>
      <w:r>
        <w:rPr>
          <w:rFonts w:hint="eastAsia"/>
          <w:color w:val="000000"/>
          <w:sz w:val="22"/>
          <w:szCs w:val="22"/>
          <w:lang w:val="en-US" w:eastAsia="zh-CN"/>
        </w:rPr>
        <w:t>24</w:t>
      </w:r>
    </w:p>
    <w:p>
      <w:pPr>
        <w:jc w:val="center"/>
        <w:rPr>
          <w:rFonts w:hint="eastAsia" w:ascii="黑体" w:hAnsi="黑体" w:eastAsia="黑体" w:cs="黑体"/>
          <w:b/>
          <w:color w:val="2056AE"/>
          <w:kern w:val="0"/>
          <w:sz w:val="44"/>
          <w:szCs w:val="44"/>
        </w:rPr>
      </w:pPr>
      <w:r>
        <w:rPr>
          <w:rFonts w:hint="eastAsia" w:ascii="黑体" w:hAnsi="黑体" w:eastAsia="黑体" w:cs="黑体"/>
          <w:b/>
          <w:color w:val="2056AE"/>
          <w:kern w:val="0"/>
          <w:sz w:val="44"/>
          <w:szCs w:val="44"/>
        </w:rPr>
        <w:t>序</w:t>
      </w:r>
      <w:r>
        <w:rPr>
          <w:rFonts w:hint="eastAsia" w:ascii="黑体" w:hAnsi="黑体" w:eastAsia="黑体" w:cs="黑体"/>
          <w:b/>
          <w:color w:val="2056AE"/>
          <w:kern w:val="0"/>
          <w:sz w:val="44"/>
          <w:szCs w:val="44"/>
          <w:lang w:val="en-US" w:eastAsia="zh-CN"/>
        </w:rPr>
        <w:t xml:space="preserve"> </w:t>
      </w:r>
      <w:r>
        <w:rPr>
          <w:rFonts w:hint="eastAsia" w:ascii="黑体" w:hAnsi="黑体" w:eastAsia="黑体" w:cs="黑体"/>
          <w:b/>
          <w:color w:val="2056AE"/>
          <w:kern w:val="0"/>
          <w:sz w:val="44"/>
          <w:szCs w:val="44"/>
        </w:rPr>
        <w:t>言</w:t>
      </w:r>
    </w:p>
    <w:p>
      <w:pPr>
        <w:rPr>
          <w:rFonts w:hint="eastAsia" w:ascii="宋体" w:hAnsi="宋体"/>
          <w:b/>
          <w:sz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r>
        <w:rPr>
          <w:rFonts w:hint="eastAsia" w:ascii="宋体" w:hAnsi="宋体"/>
          <w:sz w:val="24"/>
        </w:rPr>
        <w:t>遵义医学院医学与科技学院坐落在历史文化名城遵义，2001 年5 月经教育部批准创建，原名遵义医学院科技学院，当年9月正式招生。2004年经教育部批准，更名为遵义医学院医学与科技学院。学院实行董事会领导下的院长负责制，是一所实行独立运行、具备独立法人资格的本科独立学院。2012年，学院获首届全国民办高校党的建设和思想政治工作优秀成果一等奖，并于当年通过贵州省学位办、教育厅的学士学位授权单位和专业学位授予权评审，独立发放毕业证书并单独授予学士学位。</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宋体" w:hAnsi="宋体" w:eastAsia="宋体" w:cs="Segoe UI"/>
          <w:b/>
          <w:kern w:val="0"/>
          <w:sz w:val="24"/>
          <w:lang w:val="en-US" w:eastAsia="zh-CN"/>
        </w:rPr>
      </w:pPr>
      <w:r>
        <w:rPr>
          <w:rFonts w:hint="eastAsia" w:ascii="宋体" w:hAnsi="宋体"/>
          <w:sz w:val="24"/>
        </w:rPr>
        <w:t>学院占地面积500余亩。教学楼、多媒体教室、实验室、图书馆、体育场馆等教学设施和公共服务设施完备，能满足人才培养的需要</w:t>
      </w:r>
      <w:r>
        <w:rPr>
          <w:rFonts w:hint="eastAsia" w:ascii="宋体" w:hAnsi="宋体"/>
          <w:sz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ascii="宋体" w:hAnsi="宋体" w:cs="Segoe UI"/>
          <w:kern w:val="0"/>
          <w:sz w:val="24"/>
        </w:rPr>
      </w:pPr>
      <w:r>
        <w:rPr>
          <w:rFonts w:hint="eastAsia" w:ascii="宋体" w:hAnsi="宋体" w:cs="Segoe UI"/>
          <w:kern w:val="0"/>
          <w:sz w:val="24"/>
        </w:rPr>
        <w:t>学</w:t>
      </w:r>
      <w:r>
        <w:rPr>
          <w:rFonts w:hint="eastAsia" w:ascii="宋体" w:hAnsi="宋体" w:cs="Segoe UI"/>
          <w:kern w:val="0"/>
          <w:sz w:val="24"/>
          <w:lang w:val="en-US" w:eastAsia="zh-CN"/>
        </w:rPr>
        <w:t>院</w:t>
      </w:r>
      <w:r>
        <w:rPr>
          <w:rFonts w:hint="eastAsia" w:ascii="宋体" w:hAnsi="宋体" w:cs="Segoe UI"/>
          <w:kern w:val="0"/>
          <w:sz w:val="24"/>
        </w:rPr>
        <w:t>现有教学科研仪器设备总值</w:t>
      </w:r>
      <w:r>
        <w:rPr>
          <w:rFonts w:hint="eastAsia" w:ascii="宋体" w:hAnsi="宋体" w:cs="Segoe UI"/>
          <w:kern w:val="0"/>
          <w:sz w:val="24"/>
          <w:lang w:val="en-US" w:eastAsia="zh-CN"/>
        </w:rPr>
        <w:t>1235</w:t>
      </w:r>
      <w:r>
        <w:rPr>
          <w:rFonts w:hint="eastAsia" w:ascii="宋体" w:hAnsi="宋体" w:cs="Segoe UI"/>
          <w:kern w:val="0"/>
          <w:sz w:val="24"/>
        </w:rPr>
        <w:t>万元，生均教学科研仪器设备值为0.</w:t>
      </w:r>
      <w:r>
        <w:rPr>
          <w:rFonts w:hint="eastAsia" w:ascii="宋体" w:hAnsi="宋体" w:cs="Segoe UI"/>
          <w:kern w:val="0"/>
          <w:sz w:val="24"/>
          <w:lang w:val="en-US" w:eastAsia="zh-CN"/>
        </w:rPr>
        <w:t>4117</w:t>
      </w:r>
      <w:r>
        <w:rPr>
          <w:rFonts w:hint="eastAsia" w:ascii="宋体" w:hAnsi="宋体" w:cs="Segoe UI"/>
          <w:kern w:val="0"/>
          <w:sz w:val="24"/>
        </w:rPr>
        <w:t>万元，</w:t>
      </w:r>
      <w:r>
        <w:rPr>
          <w:rFonts w:ascii="宋体" w:hAnsi="宋体" w:cs="Segoe UI"/>
          <w:kern w:val="0"/>
          <w:sz w:val="24"/>
        </w:rPr>
        <w:t xml:space="preserve"> </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outlineLvl w:val="9"/>
        <w:rPr>
          <w:rFonts w:ascii="宋体" w:hAnsi="宋体"/>
          <w:sz w:val="24"/>
        </w:rPr>
      </w:pPr>
      <w:r>
        <w:rPr>
          <w:rFonts w:hint="eastAsia" w:ascii="宋体" w:hAnsi="宋体"/>
          <w:sz w:val="24"/>
        </w:rPr>
        <w:t>学院图书馆</w:t>
      </w:r>
      <w:r>
        <w:rPr>
          <w:rFonts w:hint="eastAsia" w:ascii="宋体" w:hAnsi="宋体"/>
          <w:sz w:val="24"/>
          <w:lang w:val="en-US" w:eastAsia="zh-CN"/>
        </w:rPr>
        <w:t>馆</w:t>
      </w:r>
      <w:r>
        <w:rPr>
          <w:rFonts w:hint="eastAsia" w:ascii="宋体" w:hAnsi="宋体"/>
          <w:sz w:val="24"/>
        </w:rPr>
        <w:t>藏图书</w:t>
      </w:r>
      <w:r>
        <w:rPr>
          <w:rFonts w:hint="eastAsia" w:ascii="宋体" w:hAnsi="宋体"/>
          <w:sz w:val="24"/>
          <w:lang w:val="en-US" w:eastAsia="zh-CN"/>
        </w:rPr>
        <w:t>25</w:t>
      </w:r>
      <w:r>
        <w:rPr>
          <w:rFonts w:ascii="宋体" w:hAnsi="宋体"/>
          <w:sz w:val="24"/>
        </w:rPr>
        <w:t>余</w:t>
      </w:r>
      <w:r>
        <w:rPr>
          <w:rFonts w:hint="eastAsia" w:ascii="宋体" w:hAnsi="宋体"/>
          <w:sz w:val="24"/>
        </w:rPr>
        <w:t>万册。与母体学校共享中国知网、重庆维普、万方、SCIE、CBM、CMCC、MEDLINE、OVID LWW、BIOSIS Previews及自建学位论文、医学教学视频、信息简报等数据库。网络资源24 小时开放，纸质图书开架率100%，WIFI 全覆盖，能满足学生自主学习的需要。</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r>
        <w:rPr>
          <w:rFonts w:hint="eastAsia" w:ascii="宋体" w:hAnsi="宋体"/>
          <w:sz w:val="24"/>
          <w:lang w:val="en-US" w:eastAsia="zh-CN"/>
        </w:rPr>
        <w:t>与北京大学国际医院等医疗机构签订了实习协议，</w:t>
      </w:r>
      <w:r>
        <w:rPr>
          <w:rFonts w:hint="eastAsia" w:ascii="宋体" w:hAnsi="宋体"/>
          <w:sz w:val="24"/>
        </w:rPr>
        <w:t>为学生创造了良好的实验、实习条件。</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r>
        <w:rPr>
          <w:rFonts w:hint="eastAsia" w:ascii="宋体" w:hAnsi="宋体"/>
          <w:sz w:val="24"/>
        </w:rPr>
        <w:t>学院机构精简高效、架构合理，管理制度健全、规范。下设</w:t>
      </w:r>
      <w:r>
        <w:rPr>
          <w:rFonts w:hint="eastAsia" w:ascii="宋体" w:hAnsi="宋体"/>
          <w:sz w:val="24"/>
          <w:lang w:val="en-US" w:eastAsia="zh-CN"/>
        </w:rPr>
        <w:t>6个职能部门，分别为党政办公室、人事处、教务处、财务处、学生工作处、后勤处；4个教学部门，分别为基础医学院、临床学院、护理学院、公共管理学院；11个专业实验室。在学院的统筹下，制度正逐步完善中，领导班子配备健全，各项人事由母体学校遵义医学院推荐和社会招聘组成，理事会聘任。学院严格按照任职条件审批各行政管理机构负责人，保证其熟悉业务，配备合理，部门间职责分工明确，运转协调，基本实现校园和基础办学设施独立。</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ascii="宋体" w:hAnsi="宋体"/>
          <w:sz w:val="24"/>
        </w:rPr>
      </w:pPr>
      <w:r>
        <w:rPr>
          <w:rFonts w:hint="eastAsia" w:ascii="宋体" w:hAnsi="宋体"/>
          <w:sz w:val="24"/>
        </w:rPr>
        <w:t>学院拥有一支数量充足、结构合理、素质优良的师资队伍。</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r>
        <w:rPr>
          <w:rFonts w:hint="eastAsia" w:ascii="宋体" w:hAnsi="宋体"/>
          <w:sz w:val="24"/>
        </w:rPr>
        <w:t>学院专业结构设置与布局合理。设有涵盖了医学、管理学、文学等6个学科门类的18个本科专业，面向全国招收全日制本科生，201</w:t>
      </w:r>
      <w:r>
        <w:rPr>
          <w:rFonts w:hint="eastAsia" w:ascii="宋体" w:hAnsi="宋体"/>
          <w:sz w:val="24"/>
          <w:lang w:val="en-US" w:eastAsia="zh-CN"/>
        </w:rPr>
        <w:t>7</w:t>
      </w:r>
      <w:r>
        <w:rPr>
          <w:rFonts w:hint="eastAsia" w:ascii="宋体" w:hAnsi="宋体"/>
          <w:sz w:val="24"/>
        </w:rPr>
        <w:t>年在校学生为</w:t>
      </w:r>
      <w:r>
        <w:rPr>
          <w:rFonts w:hint="eastAsia" w:ascii="宋体" w:hAnsi="宋体"/>
          <w:sz w:val="24"/>
          <w:lang w:val="en-US" w:eastAsia="zh-CN"/>
        </w:rPr>
        <w:t>7925</w:t>
      </w:r>
      <w:r>
        <w:rPr>
          <w:rFonts w:hint="eastAsia" w:ascii="宋体" w:hAnsi="宋体"/>
          <w:sz w:val="24"/>
        </w:rPr>
        <w:t>人，已有1</w:t>
      </w:r>
      <w:r>
        <w:rPr>
          <w:rFonts w:hint="eastAsia" w:ascii="宋体" w:hAnsi="宋体"/>
          <w:sz w:val="24"/>
          <w:lang w:val="en-US" w:eastAsia="zh-CN"/>
        </w:rPr>
        <w:t>3</w:t>
      </w:r>
      <w:r>
        <w:rPr>
          <w:rFonts w:hint="eastAsia" w:ascii="宋体" w:hAnsi="宋体"/>
          <w:sz w:val="24"/>
        </w:rPr>
        <w:t>届学生</w:t>
      </w:r>
      <w:r>
        <w:rPr>
          <w:rFonts w:hint="eastAsia" w:ascii="宋体" w:hAnsi="宋体"/>
          <w:sz w:val="24"/>
          <w:lang w:val="en-US" w:eastAsia="zh-CN"/>
        </w:rPr>
        <w:t>9564</w:t>
      </w:r>
      <w:r>
        <w:rPr>
          <w:rFonts w:hint="eastAsia" w:ascii="宋体" w:hAnsi="宋体"/>
          <w:sz w:val="24"/>
        </w:rPr>
        <w:t>人毕业，毕业生深受社会和用人单位欢迎，就业率逐年上升。</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outlineLvl w:val="9"/>
        <w:rPr>
          <w:rFonts w:hint="eastAsia" w:cs="Times New Roman"/>
          <w:kern w:val="2"/>
        </w:rPr>
      </w:pPr>
      <w:r>
        <w:rPr>
          <w:rFonts w:hint="eastAsia" w:cs="Times New Roman"/>
          <w:kern w:val="2"/>
          <w:lang w:val="en-US" w:eastAsia="zh-CN"/>
        </w:rPr>
        <w:t>17</w:t>
      </w:r>
      <w:r>
        <w:rPr>
          <w:rFonts w:cs="Times New Roman"/>
          <w:kern w:val="2"/>
        </w:rPr>
        <w:t>年来，</w:t>
      </w:r>
      <w:r>
        <w:rPr>
          <w:rFonts w:hint="eastAsia" w:cs="Times New Roman"/>
          <w:kern w:val="2"/>
        </w:rPr>
        <w:t>学院</w:t>
      </w:r>
      <w:r>
        <w:rPr>
          <w:rFonts w:cs="Times New Roman"/>
          <w:kern w:val="2"/>
        </w:rPr>
        <w:t>坚持贯彻党的教育方针，遵循高等教育发展规律，主动适应</w:t>
      </w:r>
      <w:r>
        <w:rPr>
          <w:rFonts w:hint="eastAsia" w:cs="Times New Roman"/>
          <w:kern w:val="2"/>
        </w:rPr>
        <w:t>贵州地方</w:t>
      </w:r>
      <w:r>
        <w:rPr>
          <w:rFonts w:cs="Times New Roman"/>
          <w:kern w:val="2"/>
        </w:rPr>
        <w:t>经济社会发展和人民健康需要，积极探索</w:t>
      </w:r>
      <w:r>
        <w:rPr>
          <w:rFonts w:hint="eastAsia" w:cs="Times New Roman"/>
          <w:kern w:val="2"/>
        </w:rPr>
        <w:t>西部</w:t>
      </w:r>
      <w:r>
        <w:rPr>
          <w:rFonts w:cs="Times New Roman"/>
          <w:kern w:val="2"/>
        </w:rPr>
        <w:t>地区高素质医学</w:t>
      </w:r>
      <w:r>
        <w:rPr>
          <w:rFonts w:hint="eastAsia" w:cs="Times New Roman"/>
          <w:kern w:val="2"/>
        </w:rPr>
        <w:t>应用型</w:t>
      </w:r>
      <w:r>
        <w:rPr>
          <w:rFonts w:cs="Times New Roman"/>
          <w:kern w:val="2"/>
        </w:rPr>
        <w:t>人才培养模式，开发利用具有地方特色的优质医学教育资源，</w:t>
      </w:r>
      <w:r>
        <w:rPr>
          <w:rFonts w:hint="eastAsia" w:cs="Times New Roman"/>
          <w:kern w:val="2"/>
        </w:rPr>
        <w:t>为基层培养了大批下得去、用得上、留得住、干得好的高素质应用型人才</w:t>
      </w:r>
      <w:r>
        <w:rPr>
          <w:rFonts w:cs="Times New Roman"/>
          <w:kern w:val="2"/>
        </w:rPr>
        <w:t>，在</w:t>
      </w:r>
      <w:r>
        <w:rPr>
          <w:rFonts w:hint="eastAsia" w:cs="Times New Roman"/>
          <w:kern w:val="2"/>
        </w:rPr>
        <w:t>省</w:t>
      </w:r>
      <w:r>
        <w:rPr>
          <w:rFonts w:cs="Times New Roman"/>
          <w:kern w:val="2"/>
        </w:rPr>
        <w:t>内外享有良好的社会声誉。</w:t>
      </w:r>
      <w:r>
        <w:rPr>
          <w:rFonts w:hint="eastAsia" w:cs="Times New Roman"/>
          <w:kern w:val="2"/>
        </w:rPr>
        <w:t>目前，学院正按照教育部26号令要求，扎实开展规范工作，做好迎接教育部验收工作的准备，力争为地方经济和社会发展做出更大贡献！</w:t>
      </w:r>
    </w:p>
    <w:p>
      <w:pPr>
        <w:pStyle w:val="7"/>
        <w:adjustRightInd w:val="0"/>
        <w:snapToGrid w:val="0"/>
        <w:spacing w:before="0" w:beforeAutospacing="0" w:after="0" w:afterAutospacing="0"/>
        <w:ind w:firstLine="556"/>
        <w:rPr>
          <w:rFonts w:hint="eastAsia" w:cs="Times New Roman"/>
          <w:kern w:val="2"/>
        </w:rPr>
      </w:pPr>
    </w:p>
    <w:p>
      <w:pPr>
        <w:pStyle w:val="7"/>
        <w:adjustRightInd w:val="0"/>
        <w:snapToGrid w:val="0"/>
        <w:spacing w:before="0" w:beforeAutospacing="0" w:after="0" w:afterAutospacing="0"/>
        <w:ind w:firstLine="556"/>
        <w:rPr>
          <w:rFonts w:hint="eastAsia" w:cs="Times New Roman"/>
          <w:kern w:val="2"/>
        </w:rPr>
      </w:pPr>
    </w:p>
    <w:p>
      <w:pPr>
        <w:rPr>
          <w:rFonts w:hint="eastAsia" w:ascii="黑体" w:hAnsi="黑体" w:eastAsia="黑体" w:cs="黑体"/>
          <w:b w:val="0"/>
          <w:bCs/>
          <w:kern w:val="0"/>
          <w:sz w:val="30"/>
          <w:szCs w:val="30"/>
        </w:rPr>
      </w:pPr>
      <w:r>
        <w:rPr>
          <w:rFonts w:hint="eastAsia" w:ascii="黑体" w:hAnsi="黑体" w:eastAsia="黑体" w:cs="黑体"/>
          <w:b w:val="0"/>
          <w:bCs/>
          <w:kern w:val="0"/>
          <w:sz w:val="30"/>
          <w:szCs w:val="30"/>
        </w:rPr>
        <w:t>一、本科教育基本情况</w:t>
      </w:r>
    </w:p>
    <w:p>
      <w:pPr>
        <w:rPr>
          <w:rFonts w:hint="eastAsia" w:ascii="黑体" w:hAnsi="黑体" w:eastAsia="黑体" w:cs="黑体"/>
          <w:b w:val="0"/>
          <w:bCs/>
          <w:kern w:val="0"/>
          <w:sz w:val="28"/>
          <w:szCs w:val="28"/>
        </w:rPr>
      </w:pPr>
      <w:r>
        <w:rPr>
          <w:rFonts w:hint="eastAsia" w:ascii="黑体" w:hAnsi="黑体" w:eastAsia="黑体" w:cs="黑体"/>
          <w:b w:val="0"/>
          <w:bCs/>
          <w:kern w:val="0"/>
          <w:sz w:val="28"/>
          <w:szCs w:val="28"/>
        </w:rPr>
        <w:t>（一）办学定位</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宋体" w:hAnsi="宋体"/>
          <w:b w:val="0"/>
          <w:bCs/>
          <w:sz w:val="24"/>
        </w:rPr>
      </w:pPr>
      <w:r>
        <w:rPr>
          <w:rFonts w:hint="eastAsia" w:ascii="宋体" w:hAnsi="宋体" w:cs="Segoe UI"/>
          <w:b/>
          <w:kern w:val="0"/>
          <w:sz w:val="24"/>
        </w:rPr>
        <w:t>目标定位：</w:t>
      </w:r>
      <w:r>
        <w:rPr>
          <w:rFonts w:hint="eastAsia" w:ascii="宋体" w:hAnsi="宋体" w:cs="Segoe UI"/>
          <w:b w:val="0"/>
          <w:bCs/>
          <w:kern w:val="0"/>
          <w:sz w:val="24"/>
        </w:rPr>
        <w:t>将学院建设成为贵州一流，国内有一定影响力，以医学为主的高水平独立学院</w:t>
      </w:r>
      <w:r>
        <w:rPr>
          <w:rFonts w:hint="eastAsia" w:ascii="宋体" w:hAnsi="宋体"/>
          <w:b w:val="0"/>
          <w:bCs/>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宋体" w:hAnsi="宋体"/>
          <w:sz w:val="24"/>
        </w:rPr>
      </w:pPr>
      <w:r>
        <w:rPr>
          <w:rFonts w:hint="eastAsia" w:ascii="宋体" w:hAnsi="宋体" w:cs="Segoe UI"/>
          <w:b/>
          <w:kern w:val="0"/>
          <w:sz w:val="24"/>
        </w:rPr>
        <w:t>类型定位：</w:t>
      </w:r>
      <w:r>
        <w:rPr>
          <w:rFonts w:hint="eastAsia" w:ascii="宋体" w:hAnsi="宋体"/>
          <w:sz w:val="24"/>
        </w:rPr>
        <w:t>教学型。</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宋体" w:hAnsi="宋体"/>
          <w:sz w:val="24"/>
        </w:rPr>
      </w:pPr>
      <w:r>
        <w:rPr>
          <w:rFonts w:hint="eastAsia" w:ascii="宋体" w:hAnsi="宋体" w:cs="Segoe UI"/>
          <w:b/>
          <w:kern w:val="0"/>
          <w:sz w:val="24"/>
          <w:lang w:val="en-US" w:eastAsia="zh-CN"/>
        </w:rPr>
        <w:t>学科</w:t>
      </w:r>
      <w:r>
        <w:rPr>
          <w:rFonts w:hint="eastAsia" w:ascii="宋体" w:hAnsi="宋体" w:cs="Segoe UI"/>
          <w:b/>
          <w:kern w:val="0"/>
          <w:sz w:val="24"/>
        </w:rPr>
        <w:t>定位：</w:t>
      </w:r>
      <w:r>
        <w:rPr>
          <w:rFonts w:hint="eastAsia" w:ascii="宋体" w:hAnsi="宋体" w:cs="Segoe UI"/>
          <w:b w:val="0"/>
          <w:bCs/>
          <w:kern w:val="0"/>
          <w:sz w:val="24"/>
        </w:rPr>
        <w:t>坚持以医学类学科为办学特色</w:t>
      </w:r>
      <w:r>
        <w:rPr>
          <w:rFonts w:hint="eastAsia" w:ascii="宋体" w:hAnsi="宋体" w:cs="Segoe UI"/>
          <w:b w:val="0"/>
          <w:bCs/>
          <w:kern w:val="0"/>
          <w:sz w:val="24"/>
          <w:lang w:eastAsia="zh-CN"/>
        </w:rPr>
        <w:t>，</w:t>
      </w:r>
      <w:r>
        <w:rPr>
          <w:rFonts w:hint="eastAsia" w:ascii="宋体" w:hAnsi="宋体" w:cs="Segoe UI"/>
          <w:b w:val="0"/>
          <w:bCs/>
          <w:kern w:val="0"/>
          <w:sz w:val="24"/>
          <w:lang w:val="en-US" w:eastAsia="zh-CN"/>
        </w:rPr>
        <w:t>积极发展与社会需要相适应的文、理、工等学科</w:t>
      </w:r>
      <w:r>
        <w:rPr>
          <w:rFonts w:hint="eastAsia" w:ascii="宋体" w:hAnsi="宋体" w:cs="Segoe UI"/>
          <w:b w:val="0"/>
          <w:bCs/>
          <w:kern w:val="0"/>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宋体" w:hAnsi="宋体" w:cs="Segoe UI"/>
          <w:b/>
          <w:kern w:val="0"/>
          <w:sz w:val="24"/>
        </w:rPr>
      </w:pPr>
      <w:r>
        <w:rPr>
          <w:rFonts w:hint="eastAsia" w:ascii="宋体" w:hAnsi="宋体" w:cs="Segoe UI"/>
          <w:b/>
          <w:kern w:val="0"/>
          <w:sz w:val="24"/>
        </w:rPr>
        <w:t>层次定位：</w:t>
      </w:r>
      <w:r>
        <w:rPr>
          <w:rFonts w:hint="eastAsia" w:ascii="宋体" w:hAnsi="宋体" w:cs="Segoe UI"/>
          <w:b w:val="0"/>
          <w:bCs/>
          <w:kern w:val="0"/>
          <w:sz w:val="24"/>
        </w:rPr>
        <w:t>坚持以全日制本科教育为主，适度发展成人教育，为区域经济建设和社会发展服务。</w:t>
      </w:r>
    </w:p>
    <w:p>
      <w:pPr>
        <w:ind w:firstLine="480" w:firstLineChars="200"/>
        <w:rPr>
          <w:rFonts w:hint="eastAsia" w:ascii="宋体" w:hAnsi="宋体" w:cs="Segoe UI"/>
          <w:b w:val="0"/>
          <w:bCs/>
          <w:kern w:val="0"/>
          <w:sz w:val="24"/>
        </w:rPr>
      </w:pPr>
    </w:p>
    <w:p>
      <w:pPr>
        <w:rPr>
          <w:rFonts w:hint="eastAsia" w:ascii="黑体" w:hAnsi="黑体" w:eastAsia="黑体" w:cs="黑体"/>
          <w:b w:val="0"/>
          <w:bCs/>
          <w:kern w:val="0"/>
          <w:sz w:val="28"/>
          <w:szCs w:val="28"/>
        </w:rPr>
      </w:pPr>
      <w:r>
        <w:rPr>
          <w:rFonts w:hint="eastAsia" w:ascii="黑体" w:hAnsi="黑体" w:eastAsia="黑体" w:cs="黑体"/>
          <w:b w:val="0"/>
          <w:bCs/>
          <w:kern w:val="0"/>
          <w:sz w:val="28"/>
          <w:szCs w:val="28"/>
        </w:rPr>
        <w:t>（二）本科人才培养目标及培养模式定位</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outlineLvl w:val="9"/>
        <w:rPr>
          <w:rFonts w:ascii="宋体" w:hAnsi="宋体"/>
          <w:sz w:val="24"/>
        </w:rPr>
      </w:pPr>
      <w:r>
        <w:rPr>
          <w:rFonts w:ascii="宋体" w:hAnsi="宋体"/>
          <w:sz w:val="24"/>
        </w:rPr>
        <w:t>结合地方经济社会发展的需要，突出基础扎实、动手能力强、综合素质高的人才培养特点，为地方培养技术精、素质高的应用型人才。以通识教育为基础，学科培养为优势，构建学生合理的知识结构；以专业教育为本位，构建学生应用知识和技能解决实际问题的能力；以素质教育为核心，构建学生终身学习和继续发展的潜能。</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outlineLvl w:val="9"/>
        <w:rPr>
          <w:rFonts w:hint="eastAsia" w:ascii="宋体" w:hAnsi="宋体"/>
          <w:sz w:val="24"/>
        </w:rPr>
      </w:pPr>
      <w:r>
        <w:rPr>
          <w:rFonts w:ascii="宋体" w:hAnsi="宋体"/>
          <w:sz w:val="24"/>
        </w:rPr>
        <w:t>服务面向定位：</w:t>
      </w:r>
      <w:r>
        <w:rPr>
          <w:rFonts w:hint="eastAsia" w:ascii="宋体" w:hAnsi="宋体" w:cs="Segoe UI"/>
          <w:b w:val="0"/>
          <w:bCs/>
          <w:kern w:val="0"/>
          <w:sz w:val="24"/>
        </w:rPr>
        <w:t>坚持立足遵义，面向全省，以市场需求为导向，逐步辐射全国，为区域经济建设和社会发展服务。</w:t>
      </w:r>
    </w:p>
    <w:p>
      <w:pPr>
        <w:rPr>
          <w:rFonts w:hint="eastAsia" w:ascii="宋体" w:hAnsi="宋体" w:cs="Segoe UI"/>
          <w:b/>
          <w:kern w:val="0"/>
          <w:sz w:val="24"/>
        </w:rPr>
      </w:pPr>
    </w:p>
    <w:p>
      <w:pPr>
        <w:rPr>
          <w:rFonts w:hint="eastAsia" w:ascii="黑体" w:hAnsi="黑体" w:eastAsia="黑体" w:cs="黑体"/>
          <w:b w:val="0"/>
          <w:bCs/>
          <w:kern w:val="0"/>
          <w:sz w:val="28"/>
          <w:szCs w:val="28"/>
        </w:rPr>
      </w:pPr>
      <w:r>
        <w:rPr>
          <w:rFonts w:hint="eastAsia" w:ascii="黑体" w:hAnsi="黑体" w:eastAsia="黑体" w:cs="黑体"/>
          <w:b w:val="0"/>
          <w:bCs/>
          <w:kern w:val="0"/>
          <w:sz w:val="28"/>
          <w:szCs w:val="28"/>
        </w:rPr>
        <w:t>（三）学院人才培养的中心地位及落实情况</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atLeast"/>
        <w:ind w:firstLine="480" w:firstLineChars="200"/>
        <w:textAlignment w:val="auto"/>
        <w:outlineLvl w:val="9"/>
        <w:rPr>
          <w:rFonts w:hint="eastAsia" w:cs="Times New Roman"/>
          <w:kern w:val="2"/>
        </w:rPr>
      </w:pPr>
      <w:r>
        <w:rPr>
          <w:rFonts w:hint="eastAsia" w:cs="Times New Roman"/>
          <w:kern w:val="2"/>
        </w:rPr>
        <w:t>学院始终把人才培养质量作为各项工作的中心，明确专业人才目标，制定专业人才培养标准，鼓励与督促教师投身教学，以教育教学改革研究促进教学，落实各项制度和措施保障教学，以管理服务教学。对既往教育教学管理文件进行修订，树立教师岗位责任意识，采取多项措施，提升教师、尤其是中青年教师的教育教学水平，在教师中宣传新的教育教学理念，推广新的教学方法与手段，通过教师讲课比赛等多种形式，在教师中形成积极进取，以提高教学质量为荣的良好氛围。从201</w:t>
      </w:r>
      <w:r>
        <w:rPr>
          <w:rFonts w:hint="eastAsia" w:cs="Times New Roman"/>
          <w:kern w:val="2"/>
          <w:lang w:val="en-US" w:eastAsia="zh-CN"/>
        </w:rPr>
        <w:t>7</w:t>
      </w:r>
      <w:r>
        <w:rPr>
          <w:rFonts w:hint="eastAsia" w:cs="Times New Roman"/>
          <w:kern w:val="2"/>
        </w:rPr>
        <w:t>年教学督导情况来看，青年教师课堂教学效果明显好转，普遍受到同学们的好评。</w:t>
      </w:r>
    </w:p>
    <w:p>
      <w:pPr>
        <w:rPr>
          <w:rFonts w:hint="eastAsia" w:ascii="黑体" w:hAnsi="黑体" w:eastAsia="黑体" w:cs="黑体"/>
          <w:b w:val="0"/>
          <w:bCs/>
          <w:kern w:val="0"/>
          <w:sz w:val="28"/>
          <w:szCs w:val="28"/>
        </w:rPr>
      </w:pPr>
      <w:r>
        <w:rPr>
          <w:rFonts w:hint="eastAsia" w:ascii="黑体" w:hAnsi="黑体" w:eastAsia="黑体" w:cs="黑体"/>
          <w:b w:val="0"/>
          <w:bCs/>
          <w:kern w:val="0"/>
          <w:sz w:val="28"/>
          <w:szCs w:val="28"/>
        </w:rPr>
        <w:t>（四）专业设置</w:t>
      </w:r>
    </w:p>
    <w:p>
      <w:pPr>
        <w:keepNext w:val="0"/>
        <w:keepLines w:val="0"/>
        <w:pageBreakBefore w:val="0"/>
        <w:widowControl w:val="0"/>
        <w:tabs>
          <w:tab w:val="left" w:pos="8277"/>
        </w:tabs>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楷体"/>
          <w:sz w:val="24"/>
        </w:rPr>
      </w:pPr>
      <w:r>
        <w:rPr>
          <w:rFonts w:ascii="宋体" w:hAnsi="宋体"/>
          <w:sz w:val="24"/>
        </w:rPr>
        <w:t>在长期的办学过程中，我院形成了“以社会需求为导向，以课程建设为核心”的专业建设指导思想，科学规划专业建设工作，根据国情、省情和院情，以需求为导向，加强专业结构调整，优化专业结构与布局。现已建成涵盖6大学科门类的18个本科专业；其中我院临床医学专业为贵州省特色专业。</w:t>
      </w:r>
      <w:r>
        <w:rPr>
          <w:rFonts w:hint="eastAsia" w:ascii="宋体" w:hAnsi="宋体" w:cs="楷体"/>
          <w:sz w:val="24"/>
        </w:rPr>
        <w:t>专业设置学科门类分布情况和专业设置详表分别见图1和表1。</w:t>
      </w:r>
    </w:p>
    <w:p>
      <w:pPr>
        <w:ind w:firstLine="355" w:firstLineChars="148"/>
        <w:rPr>
          <w:rFonts w:hint="eastAsia" w:ascii="宋体" w:hAnsi="宋体"/>
          <w:sz w:val="24"/>
        </w:rPr>
      </w:pPr>
    </w:p>
    <w:p>
      <w:pPr>
        <w:jc w:val="center"/>
        <w:rPr>
          <w:rFonts w:hint="eastAsia" w:ascii="宋体" w:hAnsi="宋体"/>
          <w:sz w:val="24"/>
          <w:lang/>
        </w:rPr>
      </w:pPr>
      <w:r>
        <w:rPr>
          <w:rFonts w:ascii="宋体" w:hAnsi="宋体"/>
          <w:sz w:val="24"/>
        </w:rPr>
        <w:drawing>
          <wp:inline distT="0" distB="0" distL="114300" distR="114300">
            <wp:extent cx="5229860" cy="3619500"/>
            <wp:effectExtent l="4445" t="4445" r="23495" b="14605"/>
            <wp:docPr id="71" name="图片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355" w:firstLineChars="148"/>
        <w:rPr>
          <w:rFonts w:hint="eastAsia" w:ascii="宋体" w:hAnsi="宋体"/>
          <w:sz w:val="24"/>
        </w:rPr>
      </w:pPr>
    </w:p>
    <w:p>
      <w:pPr>
        <w:shd w:val="clear" w:color="auto" w:fill="FFFFFF"/>
        <w:jc w:val="center"/>
        <w:rPr>
          <w:rFonts w:hint="eastAsia" w:ascii="宋体" w:hAnsi="宋体"/>
          <w:b/>
          <w:sz w:val="24"/>
        </w:rPr>
      </w:pPr>
      <w:r>
        <w:rPr>
          <w:rFonts w:hint="eastAsia" w:ascii="宋体" w:hAnsi="宋体"/>
          <w:b/>
          <w:sz w:val="24"/>
        </w:rPr>
        <w:t>图1</w:t>
      </w:r>
      <w:r>
        <w:rPr>
          <w:rFonts w:ascii="宋体" w:hAnsi="宋体"/>
          <w:b/>
          <w:bCs/>
          <w:sz w:val="24"/>
        </w:rPr>
        <w:t>遵义医学院</w:t>
      </w:r>
      <w:r>
        <w:rPr>
          <w:rFonts w:hint="eastAsia" w:ascii="宋体" w:hAnsi="宋体"/>
          <w:b/>
          <w:bCs/>
          <w:sz w:val="24"/>
        </w:rPr>
        <w:t>医学与科技学院</w:t>
      </w:r>
      <w:r>
        <w:rPr>
          <w:rFonts w:ascii="宋体" w:hAnsi="宋体"/>
          <w:b/>
          <w:bCs/>
          <w:sz w:val="24"/>
        </w:rPr>
        <w:t>专业设置</w:t>
      </w:r>
      <w:r>
        <w:rPr>
          <w:rFonts w:hint="eastAsia" w:ascii="宋体" w:hAnsi="宋体"/>
          <w:b/>
          <w:bCs/>
          <w:sz w:val="24"/>
        </w:rPr>
        <w:t>学科门类</w:t>
      </w:r>
      <w:r>
        <w:rPr>
          <w:rFonts w:ascii="宋体" w:hAnsi="宋体"/>
          <w:b/>
          <w:bCs/>
          <w:sz w:val="24"/>
        </w:rPr>
        <w:t>分布情况</w:t>
      </w:r>
    </w:p>
    <w:p>
      <w:pPr>
        <w:jc w:val="center"/>
        <w:rPr>
          <w:rFonts w:hint="eastAsia" w:ascii="宋体" w:hAnsi="宋体"/>
          <w:b/>
          <w:sz w:val="24"/>
        </w:rPr>
      </w:pPr>
    </w:p>
    <w:p>
      <w:pPr>
        <w:jc w:val="center"/>
        <w:rPr>
          <w:rFonts w:ascii="宋体" w:hAnsi="宋体"/>
          <w:b/>
          <w:sz w:val="24"/>
        </w:rPr>
      </w:pPr>
      <w:r>
        <w:rPr>
          <w:rFonts w:hint="eastAsia" w:ascii="宋体" w:hAnsi="宋体"/>
          <w:b/>
          <w:sz w:val="24"/>
        </w:rPr>
        <w:t>表1遵义医学院医学与科技学院专业设置详表</w:t>
      </w:r>
    </w:p>
    <w:tbl>
      <w:tblPr>
        <w:tblStyle w:val="11"/>
        <w:tblW w:w="8288" w:type="dxa"/>
        <w:tblInd w:w="93" w:type="dxa"/>
        <w:tblLayout w:type="fixed"/>
        <w:tblCellMar>
          <w:top w:w="15" w:type="dxa"/>
          <w:left w:w="108" w:type="dxa"/>
          <w:bottom w:w="15" w:type="dxa"/>
          <w:right w:w="108" w:type="dxa"/>
        </w:tblCellMar>
      </w:tblPr>
      <w:tblGrid>
        <w:gridCol w:w="1345"/>
        <w:gridCol w:w="1027"/>
        <w:gridCol w:w="5916"/>
      </w:tblGrid>
      <w:tr>
        <w:tblPrEx>
          <w:tblLayout w:type="fixed"/>
          <w:tblCellMar>
            <w:top w:w="15" w:type="dxa"/>
            <w:left w:w="108" w:type="dxa"/>
            <w:bottom w:w="15" w:type="dxa"/>
            <w:right w:w="108" w:type="dxa"/>
          </w:tblCellMar>
        </w:tblPrEx>
        <w:trPr>
          <w:trHeight w:val="126" w:hRule="atLeast"/>
        </w:trPr>
        <w:tc>
          <w:tcPr>
            <w:tcW w:w="1345" w:type="dxa"/>
            <w:tcBorders>
              <w:top w:val="single" w:color="000000" w:sz="12" w:space="0"/>
              <w:bottom w:val="single" w:color="000000"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门类</w:t>
            </w:r>
          </w:p>
        </w:tc>
        <w:tc>
          <w:tcPr>
            <w:tcW w:w="1027" w:type="dxa"/>
            <w:tcBorders>
              <w:top w:val="single" w:color="000000" w:sz="12" w:space="0"/>
              <w:bottom w:val="single" w:color="000000"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数量</w:t>
            </w:r>
          </w:p>
        </w:tc>
        <w:tc>
          <w:tcPr>
            <w:tcW w:w="5916" w:type="dxa"/>
            <w:tcBorders>
              <w:top w:val="single" w:color="000000" w:sz="12" w:space="0"/>
              <w:bottom w:val="single" w:color="000000"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专业名称</w:t>
            </w:r>
          </w:p>
        </w:tc>
      </w:tr>
      <w:tr>
        <w:tblPrEx>
          <w:tblLayout w:type="fixed"/>
          <w:tblCellMar>
            <w:top w:w="15" w:type="dxa"/>
            <w:left w:w="108" w:type="dxa"/>
            <w:bottom w:w="15" w:type="dxa"/>
            <w:right w:w="108" w:type="dxa"/>
          </w:tblCellMar>
        </w:tblPrEx>
        <w:trPr>
          <w:trHeight w:val="450" w:hRule="atLeast"/>
        </w:trPr>
        <w:tc>
          <w:tcPr>
            <w:tcW w:w="1345" w:type="dxa"/>
            <w:vAlign w:val="center"/>
          </w:tcPr>
          <w:p>
            <w:pPr>
              <w:widowControl/>
              <w:jc w:val="center"/>
              <w:rPr>
                <w:rFonts w:ascii="宋体" w:hAnsi="宋体" w:cs="宋体"/>
                <w:kern w:val="0"/>
                <w:sz w:val="24"/>
              </w:rPr>
            </w:pPr>
            <w:r>
              <w:rPr>
                <w:rFonts w:hint="eastAsia" w:ascii="宋体" w:hAnsi="宋体" w:cs="宋体"/>
                <w:kern w:val="0"/>
                <w:sz w:val="24"/>
              </w:rPr>
              <w:t>医学</w:t>
            </w:r>
          </w:p>
        </w:tc>
        <w:tc>
          <w:tcPr>
            <w:tcW w:w="1027" w:type="dxa"/>
            <w:vAlign w:val="center"/>
          </w:tcPr>
          <w:p>
            <w:pPr>
              <w:widowControl/>
              <w:jc w:val="center"/>
              <w:rPr>
                <w:rFonts w:ascii="宋体" w:hAnsi="宋体" w:cs="宋体"/>
                <w:kern w:val="0"/>
                <w:sz w:val="24"/>
              </w:rPr>
            </w:pPr>
            <w:r>
              <w:rPr>
                <w:rFonts w:hint="eastAsia" w:ascii="宋体" w:hAnsi="宋体" w:cs="宋体"/>
                <w:kern w:val="0"/>
                <w:sz w:val="24"/>
              </w:rPr>
              <w:t>4</w:t>
            </w:r>
          </w:p>
        </w:tc>
        <w:tc>
          <w:tcPr>
            <w:tcW w:w="5916" w:type="dxa"/>
            <w:vAlign w:val="center"/>
          </w:tcPr>
          <w:p>
            <w:pPr>
              <w:widowControl/>
              <w:jc w:val="left"/>
              <w:rPr>
                <w:rFonts w:ascii="宋体" w:hAnsi="宋体" w:cs="宋体"/>
                <w:kern w:val="0"/>
                <w:sz w:val="24"/>
              </w:rPr>
            </w:pPr>
            <w:r>
              <w:rPr>
                <w:rFonts w:hint="eastAsia" w:ascii="宋体" w:hAnsi="宋体" w:cs="宋体"/>
                <w:kern w:val="0"/>
                <w:sz w:val="24"/>
              </w:rPr>
              <w:t>临床医学、口腔医学、麻醉学、法医学</w:t>
            </w:r>
          </w:p>
        </w:tc>
      </w:tr>
      <w:tr>
        <w:tblPrEx>
          <w:tblLayout w:type="fixed"/>
          <w:tblCellMar>
            <w:top w:w="15" w:type="dxa"/>
            <w:left w:w="108" w:type="dxa"/>
            <w:bottom w:w="15" w:type="dxa"/>
            <w:right w:w="108" w:type="dxa"/>
          </w:tblCellMar>
        </w:tblPrEx>
        <w:trPr>
          <w:trHeight w:val="759" w:hRule="atLeast"/>
        </w:trPr>
        <w:tc>
          <w:tcPr>
            <w:tcW w:w="1345" w:type="dxa"/>
            <w:vAlign w:val="center"/>
          </w:tcPr>
          <w:p>
            <w:pPr>
              <w:widowControl/>
              <w:ind w:firstLine="240" w:firstLineChars="100"/>
              <w:rPr>
                <w:rFonts w:ascii="宋体" w:hAnsi="宋体" w:cs="宋体"/>
                <w:kern w:val="0"/>
                <w:sz w:val="24"/>
              </w:rPr>
            </w:pPr>
            <w:r>
              <w:rPr>
                <w:rFonts w:hint="eastAsia" w:ascii="宋体" w:hAnsi="宋体" w:cs="宋体"/>
                <w:kern w:val="0"/>
                <w:sz w:val="24"/>
              </w:rPr>
              <w:t>工学</w:t>
            </w:r>
          </w:p>
        </w:tc>
        <w:tc>
          <w:tcPr>
            <w:tcW w:w="1027" w:type="dxa"/>
            <w:vAlign w:val="center"/>
          </w:tcPr>
          <w:p>
            <w:pPr>
              <w:widowControl/>
              <w:jc w:val="center"/>
              <w:rPr>
                <w:rFonts w:ascii="宋体" w:hAnsi="宋体" w:cs="宋体"/>
                <w:kern w:val="0"/>
                <w:sz w:val="24"/>
              </w:rPr>
            </w:pPr>
            <w:r>
              <w:rPr>
                <w:rFonts w:hint="eastAsia" w:ascii="宋体" w:hAnsi="宋体" w:cs="宋体"/>
                <w:kern w:val="0"/>
                <w:sz w:val="24"/>
              </w:rPr>
              <w:t>3</w:t>
            </w:r>
          </w:p>
        </w:tc>
        <w:tc>
          <w:tcPr>
            <w:tcW w:w="5916" w:type="dxa"/>
            <w:vAlign w:val="center"/>
          </w:tcPr>
          <w:p>
            <w:pPr>
              <w:widowControl/>
              <w:jc w:val="left"/>
              <w:rPr>
                <w:rFonts w:ascii="宋体" w:hAnsi="宋体" w:cs="宋体"/>
                <w:kern w:val="0"/>
                <w:sz w:val="24"/>
              </w:rPr>
            </w:pPr>
            <w:r>
              <w:rPr>
                <w:rFonts w:hint="eastAsia" w:ascii="宋体" w:hAnsi="宋体" w:cs="宋体"/>
                <w:kern w:val="0"/>
                <w:sz w:val="24"/>
              </w:rPr>
              <w:t>制药工程、生物工程、医学信息工程</w:t>
            </w:r>
          </w:p>
        </w:tc>
      </w:tr>
      <w:tr>
        <w:tblPrEx>
          <w:tblLayout w:type="fixed"/>
          <w:tblCellMar>
            <w:top w:w="15" w:type="dxa"/>
            <w:left w:w="108" w:type="dxa"/>
            <w:bottom w:w="15" w:type="dxa"/>
            <w:right w:w="108" w:type="dxa"/>
          </w:tblCellMar>
        </w:tblPrEx>
        <w:trPr>
          <w:trHeight w:val="367" w:hRule="atLeast"/>
        </w:trPr>
        <w:tc>
          <w:tcPr>
            <w:tcW w:w="1345" w:type="dxa"/>
            <w:vAlign w:val="center"/>
          </w:tcPr>
          <w:p>
            <w:pPr>
              <w:widowControl/>
              <w:jc w:val="center"/>
              <w:rPr>
                <w:rFonts w:ascii="宋体" w:hAnsi="宋体" w:cs="宋体"/>
                <w:kern w:val="0"/>
                <w:sz w:val="24"/>
              </w:rPr>
            </w:pPr>
            <w:r>
              <w:rPr>
                <w:rFonts w:hint="eastAsia" w:ascii="宋体" w:hAnsi="宋体" w:cs="宋体"/>
                <w:kern w:val="0"/>
                <w:sz w:val="24"/>
              </w:rPr>
              <w:t xml:space="preserve"> 管理学</w:t>
            </w:r>
          </w:p>
        </w:tc>
        <w:tc>
          <w:tcPr>
            <w:tcW w:w="1027" w:type="dxa"/>
            <w:vAlign w:val="center"/>
          </w:tcPr>
          <w:p>
            <w:pPr>
              <w:widowControl/>
              <w:jc w:val="center"/>
              <w:rPr>
                <w:rFonts w:ascii="宋体" w:hAnsi="宋体" w:cs="宋体"/>
                <w:kern w:val="0"/>
                <w:sz w:val="24"/>
              </w:rPr>
            </w:pPr>
            <w:r>
              <w:rPr>
                <w:rFonts w:hint="eastAsia" w:ascii="宋体" w:hAnsi="宋体" w:cs="宋体"/>
                <w:kern w:val="0"/>
                <w:sz w:val="24"/>
              </w:rPr>
              <w:t>1</w:t>
            </w:r>
          </w:p>
        </w:tc>
        <w:tc>
          <w:tcPr>
            <w:tcW w:w="5916" w:type="dxa"/>
            <w:vAlign w:val="center"/>
          </w:tcPr>
          <w:p>
            <w:pPr>
              <w:widowControl/>
              <w:jc w:val="left"/>
              <w:rPr>
                <w:rFonts w:ascii="宋体" w:hAnsi="宋体" w:cs="宋体"/>
                <w:kern w:val="0"/>
                <w:sz w:val="24"/>
              </w:rPr>
            </w:pPr>
            <w:r>
              <w:rPr>
                <w:rFonts w:hint="eastAsia" w:ascii="宋体" w:hAnsi="宋体" w:cs="宋体"/>
                <w:kern w:val="0"/>
                <w:sz w:val="24"/>
              </w:rPr>
              <w:t>公共事业管理</w:t>
            </w:r>
          </w:p>
        </w:tc>
      </w:tr>
      <w:tr>
        <w:tblPrEx>
          <w:tblLayout w:type="fixed"/>
          <w:tblCellMar>
            <w:top w:w="15" w:type="dxa"/>
            <w:left w:w="108" w:type="dxa"/>
            <w:bottom w:w="15" w:type="dxa"/>
            <w:right w:w="108" w:type="dxa"/>
          </w:tblCellMar>
        </w:tblPrEx>
        <w:trPr>
          <w:trHeight w:val="464" w:hRule="atLeast"/>
        </w:trPr>
        <w:tc>
          <w:tcPr>
            <w:tcW w:w="1345" w:type="dxa"/>
            <w:vAlign w:val="center"/>
          </w:tcPr>
          <w:p>
            <w:pPr>
              <w:widowControl/>
              <w:jc w:val="center"/>
              <w:rPr>
                <w:rFonts w:ascii="宋体" w:hAnsi="宋体" w:cs="宋体"/>
                <w:kern w:val="0"/>
                <w:sz w:val="24"/>
              </w:rPr>
            </w:pPr>
            <w:r>
              <w:rPr>
                <w:rFonts w:hint="eastAsia" w:ascii="宋体" w:hAnsi="宋体" w:cs="宋体"/>
                <w:kern w:val="0"/>
                <w:sz w:val="24"/>
              </w:rPr>
              <w:t xml:space="preserve"> 教育学</w:t>
            </w:r>
          </w:p>
        </w:tc>
        <w:tc>
          <w:tcPr>
            <w:tcW w:w="1027" w:type="dxa"/>
            <w:vAlign w:val="center"/>
          </w:tcPr>
          <w:p>
            <w:pPr>
              <w:widowControl/>
              <w:jc w:val="center"/>
              <w:rPr>
                <w:rFonts w:ascii="宋体" w:hAnsi="宋体" w:cs="宋体"/>
                <w:kern w:val="0"/>
                <w:sz w:val="24"/>
              </w:rPr>
            </w:pPr>
            <w:r>
              <w:rPr>
                <w:rFonts w:hint="eastAsia" w:ascii="宋体" w:hAnsi="宋体" w:cs="宋体"/>
                <w:kern w:val="0"/>
                <w:sz w:val="24"/>
              </w:rPr>
              <w:t>2</w:t>
            </w:r>
          </w:p>
        </w:tc>
        <w:tc>
          <w:tcPr>
            <w:tcW w:w="5916" w:type="dxa"/>
            <w:vAlign w:val="center"/>
          </w:tcPr>
          <w:p>
            <w:pPr>
              <w:widowControl/>
              <w:jc w:val="left"/>
              <w:rPr>
                <w:rFonts w:ascii="宋体" w:hAnsi="宋体" w:cs="宋体"/>
                <w:kern w:val="0"/>
                <w:sz w:val="24"/>
              </w:rPr>
            </w:pPr>
            <w:r>
              <w:rPr>
                <w:rFonts w:hint="eastAsia" w:ascii="宋体" w:hAnsi="宋体" w:cs="宋体"/>
                <w:kern w:val="0"/>
                <w:sz w:val="24"/>
              </w:rPr>
              <w:t>社会体育指导与管理、运动康复</w:t>
            </w:r>
          </w:p>
        </w:tc>
      </w:tr>
      <w:tr>
        <w:tblPrEx>
          <w:tblLayout w:type="fixed"/>
          <w:tblCellMar>
            <w:top w:w="15" w:type="dxa"/>
            <w:left w:w="108" w:type="dxa"/>
            <w:bottom w:w="15" w:type="dxa"/>
            <w:right w:w="108" w:type="dxa"/>
          </w:tblCellMar>
        </w:tblPrEx>
        <w:trPr>
          <w:trHeight w:val="360" w:hRule="atLeast"/>
        </w:trPr>
        <w:tc>
          <w:tcPr>
            <w:tcW w:w="1345" w:type="dxa"/>
            <w:vAlign w:val="center"/>
          </w:tcPr>
          <w:p>
            <w:pPr>
              <w:widowControl/>
              <w:jc w:val="center"/>
              <w:rPr>
                <w:rFonts w:ascii="宋体" w:hAnsi="宋体" w:cs="宋体"/>
                <w:kern w:val="0"/>
                <w:sz w:val="24"/>
              </w:rPr>
            </w:pPr>
            <w:r>
              <w:rPr>
                <w:rFonts w:hint="eastAsia" w:ascii="宋体" w:hAnsi="宋体" w:cs="宋体"/>
                <w:kern w:val="0"/>
                <w:sz w:val="24"/>
              </w:rPr>
              <w:t>理学</w:t>
            </w:r>
          </w:p>
        </w:tc>
        <w:tc>
          <w:tcPr>
            <w:tcW w:w="1027" w:type="dxa"/>
            <w:vAlign w:val="center"/>
          </w:tcPr>
          <w:p>
            <w:pPr>
              <w:widowControl/>
              <w:jc w:val="center"/>
              <w:rPr>
                <w:rFonts w:ascii="宋体" w:hAnsi="宋体" w:cs="宋体"/>
                <w:kern w:val="0"/>
                <w:sz w:val="24"/>
              </w:rPr>
            </w:pPr>
            <w:r>
              <w:rPr>
                <w:rFonts w:hint="eastAsia" w:ascii="宋体" w:hAnsi="宋体" w:cs="宋体"/>
                <w:kern w:val="0"/>
                <w:sz w:val="24"/>
              </w:rPr>
              <w:t>7</w:t>
            </w:r>
          </w:p>
        </w:tc>
        <w:tc>
          <w:tcPr>
            <w:tcW w:w="5916" w:type="dxa"/>
            <w:vAlign w:val="center"/>
          </w:tcPr>
          <w:p>
            <w:pPr>
              <w:widowControl/>
              <w:jc w:val="left"/>
              <w:rPr>
                <w:rFonts w:ascii="宋体" w:hAnsi="宋体" w:cs="宋体"/>
                <w:b/>
                <w:kern w:val="0"/>
                <w:sz w:val="24"/>
              </w:rPr>
            </w:pPr>
            <w:r>
              <w:rPr>
                <w:rFonts w:hint="eastAsia" w:ascii="宋体" w:hAnsi="宋体" w:cs="宋体"/>
                <w:kern w:val="0"/>
                <w:sz w:val="24"/>
              </w:rPr>
              <w:t>信息与计算科学、药物制剂、医学检验技术、护理学、医学影像技术、药学、口腔医学技术、</w:t>
            </w:r>
          </w:p>
        </w:tc>
      </w:tr>
      <w:tr>
        <w:tblPrEx>
          <w:tblLayout w:type="fixed"/>
          <w:tblCellMar>
            <w:top w:w="15" w:type="dxa"/>
            <w:left w:w="108" w:type="dxa"/>
            <w:bottom w:w="15" w:type="dxa"/>
            <w:right w:w="108" w:type="dxa"/>
          </w:tblCellMar>
        </w:tblPrEx>
        <w:trPr>
          <w:trHeight w:val="360" w:hRule="atLeast"/>
        </w:trPr>
        <w:tc>
          <w:tcPr>
            <w:tcW w:w="1345" w:type="dxa"/>
            <w:tcBorders>
              <w:bottom w:val="single" w:color="000000" w:sz="12" w:space="0"/>
            </w:tcBorders>
            <w:vAlign w:val="center"/>
          </w:tcPr>
          <w:p>
            <w:pPr>
              <w:widowControl/>
              <w:jc w:val="center"/>
              <w:rPr>
                <w:rFonts w:ascii="宋体" w:hAnsi="宋体" w:cs="宋体"/>
                <w:kern w:val="0"/>
                <w:sz w:val="24"/>
              </w:rPr>
            </w:pPr>
            <w:r>
              <w:rPr>
                <w:rFonts w:hint="eastAsia" w:ascii="宋体" w:hAnsi="宋体" w:cs="宋体"/>
                <w:kern w:val="0"/>
                <w:sz w:val="24"/>
              </w:rPr>
              <w:t>文学</w:t>
            </w:r>
          </w:p>
        </w:tc>
        <w:tc>
          <w:tcPr>
            <w:tcW w:w="1027" w:type="dxa"/>
            <w:tcBorders>
              <w:bottom w:val="single" w:color="000000" w:sz="12"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5916" w:type="dxa"/>
            <w:tcBorders>
              <w:bottom w:val="single" w:color="000000" w:sz="12" w:space="0"/>
            </w:tcBorders>
            <w:vAlign w:val="center"/>
          </w:tcPr>
          <w:p>
            <w:pPr>
              <w:widowControl/>
              <w:jc w:val="left"/>
              <w:rPr>
                <w:rFonts w:ascii="宋体" w:hAnsi="宋体" w:cs="宋体"/>
                <w:kern w:val="0"/>
                <w:sz w:val="24"/>
              </w:rPr>
            </w:pPr>
            <w:r>
              <w:rPr>
                <w:rFonts w:hint="eastAsia" w:ascii="宋体" w:hAnsi="宋体" w:cs="宋体"/>
                <w:kern w:val="0"/>
                <w:sz w:val="24"/>
              </w:rPr>
              <w:t>英语</w:t>
            </w:r>
          </w:p>
        </w:tc>
      </w:tr>
    </w:tbl>
    <w:p>
      <w:pPr>
        <w:rPr>
          <w:rFonts w:hint="eastAsia" w:ascii="黑体" w:hAnsi="黑体" w:eastAsia="黑体" w:cs="黑体"/>
          <w:b w:val="0"/>
          <w:bCs/>
          <w:kern w:val="0"/>
          <w:sz w:val="28"/>
          <w:szCs w:val="28"/>
        </w:rPr>
      </w:pPr>
      <w:r>
        <w:rPr>
          <w:rFonts w:hint="eastAsia" w:ascii="黑体" w:hAnsi="黑体" w:eastAsia="黑体" w:cs="黑体"/>
          <w:b w:val="0"/>
          <w:bCs/>
          <w:kern w:val="0"/>
          <w:sz w:val="28"/>
          <w:szCs w:val="28"/>
        </w:rPr>
        <w:t>（五）在校生规模及学生体质情况</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outlineLvl w:val="9"/>
        <w:rPr>
          <w:rFonts w:hint="eastAsia" w:ascii="宋体" w:hAnsi="宋体"/>
          <w:sz w:val="24"/>
        </w:rPr>
      </w:pPr>
      <w:r>
        <w:rPr>
          <w:rFonts w:hint="eastAsia" w:ascii="宋体" w:hAnsi="宋体"/>
          <w:sz w:val="24"/>
        </w:rPr>
        <w:t>201</w:t>
      </w:r>
      <w:r>
        <w:rPr>
          <w:rFonts w:hint="eastAsia" w:ascii="宋体" w:hAnsi="宋体"/>
          <w:sz w:val="24"/>
          <w:lang w:val="en-US" w:eastAsia="zh-CN"/>
        </w:rPr>
        <w:t>7</w:t>
      </w:r>
      <w:r>
        <w:rPr>
          <w:rFonts w:hint="eastAsia" w:ascii="宋体" w:hAnsi="宋体"/>
          <w:sz w:val="24"/>
        </w:rPr>
        <w:t>年，学院有全日制在校本科生</w:t>
      </w:r>
      <w:r>
        <w:rPr>
          <w:rFonts w:hint="eastAsia" w:ascii="宋体" w:hAnsi="宋体"/>
          <w:sz w:val="24"/>
          <w:lang w:val="en-US" w:eastAsia="zh-CN"/>
        </w:rPr>
        <w:t>7925</w:t>
      </w:r>
      <w:r>
        <w:rPr>
          <w:rFonts w:hint="eastAsia" w:ascii="宋体" w:hAnsi="宋体"/>
          <w:sz w:val="24"/>
        </w:rPr>
        <w:t>人 。学院根据《学生体质健康标准》对</w:t>
      </w:r>
      <w:r>
        <w:rPr>
          <w:rFonts w:hint="eastAsia" w:ascii="宋体" w:hAnsi="宋体"/>
          <w:sz w:val="24"/>
          <w:lang w:val="en-US" w:eastAsia="zh-CN"/>
        </w:rPr>
        <w:t>应届本科毕业生</w:t>
      </w:r>
      <w:r>
        <w:rPr>
          <w:rFonts w:hint="eastAsia" w:ascii="宋体" w:hAnsi="宋体"/>
          <w:sz w:val="24"/>
        </w:rPr>
        <w:t>体质进行了测试，共计测试人数</w:t>
      </w:r>
      <w:r>
        <w:rPr>
          <w:rFonts w:hint="eastAsia" w:ascii="宋体" w:hAnsi="宋体"/>
          <w:sz w:val="24"/>
          <w:lang w:val="en-US" w:eastAsia="zh-CN"/>
        </w:rPr>
        <w:t>744</w:t>
      </w:r>
      <w:r>
        <w:rPr>
          <w:rFonts w:hint="eastAsia" w:ascii="宋体" w:hAnsi="宋体"/>
          <w:sz w:val="24"/>
        </w:rPr>
        <w:t>人，合格人数</w:t>
      </w:r>
      <w:r>
        <w:rPr>
          <w:rFonts w:hint="eastAsia" w:ascii="宋体" w:hAnsi="宋体"/>
          <w:sz w:val="24"/>
          <w:lang w:val="en-US" w:eastAsia="zh-CN"/>
        </w:rPr>
        <w:t>697</w:t>
      </w:r>
      <w:r>
        <w:rPr>
          <w:rFonts w:hint="eastAsia" w:ascii="宋体" w:hAnsi="宋体"/>
          <w:sz w:val="24"/>
        </w:rPr>
        <w:t>人，合格率为9</w:t>
      </w:r>
      <w:r>
        <w:rPr>
          <w:rFonts w:hint="eastAsia" w:ascii="宋体" w:hAnsi="宋体"/>
          <w:sz w:val="24"/>
          <w:lang w:val="en-US" w:eastAsia="zh-CN"/>
        </w:rPr>
        <w:t>3.68</w:t>
      </w:r>
      <w:r>
        <w:rPr>
          <w:rFonts w:hint="eastAsia" w:ascii="宋体" w:hAnsi="宋体"/>
          <w:sz w:val="24"/>
        </w:rPr>
        <w:t>%。</w:t>
      </w:r>
    </w:p>
    <w:p>
      <w:pPr>
        <w:rPr>
          <w:rFonts w:hint="eastAsia" w:ascii="宋体" w:hAnsi="宋体" w:cs="Segoe UI"/>
          <w:b/>
          <w:kern w:val="0"/>
          <w:sz w:val="24"/>
        </w:rPr>
      </w:pPr>
    </w:p>
    <w:p>
      <w:pPr>
        <w:rPr>
          <w:rFonts w:hint="eastAsia" w:ascii="黑体" w:hAnsi="黑体" w:eastAsia="黑体" w:cs="黑体"/>
          <w:b w:val="0"/>
          <w:bCs/>
          <w:kern w:val="0"/>
          <w:sz w:val="28"/>
          <w:szCs w:val="28"/>
        </w:rPr>
      </w:pPr>
      <w:r>
        <w:rPr>
          <w:rFonts w:hint="eastAsia" w:ascii="黑体" w:hAnsi="黑体" w:eastAsia="黑体" w:cs="黑体"/>
          <w:b w:val="0"/>
          <w:bCs/>
          <w:kern w:val="0"/>
          <w:sz w:val="28"/>
          <w:szCs w:val="28"/>
        </w:rPr>
        <w:t>（六）招生规模及生源质量</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b w:val="0"/>
          <w:bCs/>
          <w:kern w:val="0"/>
          <w:sz w:val="24"/>
        </w:rPr>
      </w:pPr>
      <w:r>
        <w:rPr>
          <w:rFonts w:hint="eastAsia" w:ascii="黑体" w:hAnsi="黑体" w:eastAsia="黑体" w:cs="黑体"/>
          <w:b w:val="0"/>
          <w:bCs/>
          <w:kern w:val="0"/>
          <w:sz w:val="24"/>
        </w:rPr>
        <w:t>1.招生规模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宋体" w:hAnsi="宋体" w:cs="仿宋_GB2312"/>
          <w:sz w:val="24"/>
        </w:rPr>
      </w:pPr>
      <w:r>
        <w:rPr>
          <w:rFonts w:hint="eastAsia" w:ascii="宋体" w:hAnsi="宋体" w:cs="仿宋_GB2312"/>
          <w:sz w:val="24"/>
        </w:rPr>
        <w:t>在办学过程中，学院坚持结构与效益、规模与质量协调发展的思路，在保证人才培养质量的基础上，适度扩大招生规模，稳步提高在校生人数，更好的为地方经济社会发展服务。201</w:t>
      </w:r>
      <w:r>
        <w:rPr>
          <w:rFonts w:hint="eastAsia" w:ascii="宋体" w:hAnsi="宋体" w:cs="仿宋_GB2312"/>
          <w:sz w:val="24"/>
          <w:lang w:val="en-US" w:eastAsia="zh-CN"/>
        </w:rPr>
        <w:t>7</w:t>
      </w:r>
      <w:r>
        <w:rPr>
          <w:rFonts w:hint="eastAsia" w:ascii="宋体" w:hAnsi="宋体" w:cs="仿宋_GB2312"/>
          <w:sz w:val="24"/>
        </w:rPr>
        <w:t>年，我院面向全国12个省（市、自治区）招生，计划招收本科生</w:t>
      </w:r>
      <w:r>
        <w:rPr>
          <w:rFonts w:hint="eastAsia" w:ascii="宋体" w:hAnsi="宋体" w:cs="仿宋_GB2312"/>
          <w:sz w:val="24"/>
          <w:lang w:val="en-US" w:eastAsia="zh-CN"/>
        </w:rPr>
        <w:t>1244</w:t>
      </w:r>
      <w:r>
        <w:rPr>
          <w:rFonts w:hint="eastAsia" w:ascii="宋体" w:hAnsi="宋体" w:cs="仿宋_GB2312"/>
          <w:sz w:val="24"/>
        </w:rPr>
        <w:t>人。学科涵盖医学、管理学、文学、理学、工学等5大学科门类，包含临床医学、口腔医学、麻醉学、护理学、公共事业管理、药学等专业。</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b w:val="0"/>
          <w:bCs/>
          <w:kern w:val="0"/>
          <w:sz w:val="24"/>
        </w:rPr>
      </w:pPr>
      <w:r>
        <w:rPr>
          <w:rFonts w:hint="eastAsia" w:ascii="黑体" w:hAnsi="黑体" w:eastAsia="黑体" w:cs="黑体"/>
          <w:b w:val="0"/>
          <w:bCs/>
          <w:kern w:val="0"/>
          <w:sz w:val="24"/>
        </w:rPr>
        <w:t>2.生源质量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仿宋_GB2312"/>
          <w:sz w:val="24"/>
        </w:rPr>
      </w:pPr>
      <w:r>
        <w:rPr>
          <w:rFonts w:hint="eastAsia" w:ascii="宋体" w:hAnsi="宋体" w:cs="仿宋_GB2312"/>
          <w:sz w:val="24"/>
        </w:rPr>
        <w:t>近年来，学院教育教学质量不断提升，得到了广大用人单位和学生家长的广泛认可和肯定。学院招生工成绩显著，生源质量不断提升。</w:t>
      </w:r>
    </w:p>
    <w:p>
      <w:pPr>
        <w:ind w:firstLine="480" w:firstLineChars="200"/>
        <w:rPr>
          <w:rFonts w:hint="eastAsia" w:ascii="宋体" w:hAnsi="宋体" w:cs="仿宋_GB2312"/>
          <w:sz w:val="24"/>
        </w:rPr>
      </w:pPr>
    </w:p>
    <w:p>
      <w:pPr>
        <w:rPr>
          <w:rFonts w:hint="eastAsia" w:ascii="黑体" w:hAnsi="黑体" w:eastAsia="黑体" w:cs="黑体"/>
          <w:b w:val="0"/>
          <w:bCs/>
          <w:kern w:val="0"/>
          <w:sz w:val="28"/>
          <w:szCs w:val="28"/>
        </w:rPr>
      </w:pPr>
      <w:r>
        <w:rPr>
          <w:rFonts w:hint="eastAsia" w:ascii="黑体" w:hAnsi="黑体" w:eastAsia="黑体" w:cs="黑体"/>
          <w:b w:val="0"/>
          <w:bCs/>
          <w:kern w:val="0"/>
          <w:sz w:val="28"/>
          <w:szCs w:val="28"/>
        </w:rPr>
        <w:t>（七）毕业生情况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r>
        <w:rPr>
          <w:rFonts w:hint="eastAsia" w:ascii="宋体" w:hAnsi="宋体"/>
          <w:sz w:val="24"/>
        </w:rPr>
        <w:t>学位授予是本科教学质量控制的重要手段。学院在重视人才培养过程的同时，一直坚持学业标准，严把毕业关、学位授予关。</w:t>
      </w:r>
      <w:r>
        <w:rPr>
          <w:rFonts w:hint="eastAsia" w:ascii="宋体" w:hAnsi="宋体"/>
          <w:sz w:val="24"/>
          <w:lang w:val="en-US" w:eastAsia="zh-CN"/>
        </w:rPr>
        <w:t>2017-2018学</w:t>
      </w:r>
      <w:r>
        <w:rPr>
          <w:rFonts w:hint="eastAsia" w:ascii="宋体" w:hAnsi="宋体"/>
          <w:sz w:val="24"/>
        </w:rPr>
        <w:t>年，全院本科毕业生共有1</w:t>
      </w:r>
      <w:r>
        <w:rPr>
          <w:rFonts w:hint="eastAsia" w:ascii="宋体" w:hAnsi="宋体"/>
          <w:sz w:val="24"/>
          <w:lang w:val="en-US" w:eastAsia="zh-CN"/>
        </w:rPr>
        <w:t>368</w:t>
      </w:r>
      <w:r>
        <w:rPr>
          <w:rFonts w:hint="eastAsia" w:ascii="宋体" w:hAnsi="宋体"/>
          <w:sz w:val="24"/>
        </w:rPr>
        <w:t>人，一次性取得毕业证书1</w:t>
      </w:r>
      <w:r>
        <w:rPr>
          <w:rFonts w:hint="eastAsia" w:ascii="宋体" w:hAnsi="宋体"/>
          <w:sz w:val="24"/>
          <w:lang w:val="en-US" w:eastAsia="zh-CN"/>
        </w:rPr>
        <w:t>341</w:t>
      </w:r>
      <w:r>
        <w:rPr>
          <w:rFonts w:hint="eastAsia" w:ascii="宋体" w:hAnsi="宋体"/>
          <w:sz w:val="24"/>
        </w:rPr>
        <w:t>人，一次性毕业率达到98.0</w:t>
      </w:r>
      <w:r>
        <w:rPr>
          <w:rFonts w:hint="eastAsia" w:ascii="宋体" w:hAnsi="宋体"/>
          <w:sz w:val="24"/>
          <w:lang w:val="en-US" w:eastAsia="zh-CN"/>
        </w:rPr>
        <w:t>3</w:t>
      </w:r>
      <w:r>
        <w:rPr>
          <w:rFonts w:hint="eastAsia" w:ascii="宋体" w:hAnsi="宋体"/>
          <w:sz w:val="24"/>
        </w:rPr>
        <w:t>%，,获得学士学位1</w:t>
      </w:r>
      <w:r>
        <w:rPr>
          <w:rFonts w:hint="eastAsia" w:ascii="宋体" w:hAnsi="宋体"/>
          <w:sz w:val="24"/>
          <w:lang w:val="en-US" w:eastAsia="zh-CN"/>
        </w:rPr>
        <w:t>335</w:t>
      </w:r>
      <w:r>
        <w:rPr>
          <w:rFonts w:hint="eastAsia" w:ascii="宋体" w:hAnsi="宋体"/>
          <w:sz w:val="24"/>
        </w:rPr>
        <w:t>人，学位授予率为9</w:t>
      </w:r>
      <w:r>
        <w:rPr>
          <w:rFonts w:hint="eastAsia" w:ascii="宋体" w:hAnsi="宋体"/>
          <w:sz w:val="24"/>
          <w:lang w:val="en-US" w:eastAsia="zh-CN"/>
        </w:rPr>
        <w:t>7.59</w:t>
      </w:r>
      <w:r>
        <w:rPr>
          <w:rFonts w:ascii="宋体" w:hAnsi="宋体"/>
          <w:sz w:val="24"/>
        </w:rPr>
        <w:t>%</w:t>
      </w:r>
      <w:r>
        <w:rPr>
          <w:rFonts w:hint="eastAsia" w:ascii="宋体" w:hAnsi="宋体"/>
          <w:sz w:val="24"/>
        </w:rPr>
        <w:t>。</w:t>
      </w:r>
    </w:p>
    <w:p>
      <w:pPr>
        <w:rPr>
          <w:rFonts w:hint="eastAsia" w:ascii="宋体" w:hAnsi="宋体" w:cs="Segoe UI"/>
          <w:b/>
          <w:kern w:val="0"/>
          <w:sz w:val="24"/>
        </w:rPr>
      </w:pPr>
    </w:p>
    <w:p>
      <w:pPr>
        <w:rPr>
          <w:rFonts w:hint="eastAsia" w:ascii="宋体" w:hAnsi="宋体" w:cs="宋体-方正超大字符集"/>
          <w:sz w:val="24"/>
        </w:rPr>
      </w:pPr>
    </w:p>
    <w:p>
      <w:pPr>
        <w:rPr>
          <w:rFonts w:hint="eastAsia" w:ascii="黑体" w:hAnsi="黑体" w:eastAsia="黑体" w:cs="黑体"/>
          <w:b w:val="0"/>
          <w:bCs/>
          <w:kern w:val="0"/>
          <w:sz w:val="30"/>
          <w:szCs w:val="30"/>
        </w:rPr>
      </w:pPr>
      <w:r>
        <w:rPr>
          <w:rFonts w:hint="eastAsia" w:ascii="黑体" w:hAnsi="黑体" w:eastAsia="黑体" w:cs="黑体"/>
          <w:b w:val="0"/>
          <w:bCs/>
          <w:kern w:val="0"/>
          <w:sz w:val="30"/>
          <w:szCs w:val="30"/>
        </w:rPr>
        <w:t>二、师资与教学条件</w:t>
      </w:r>
    </w:p>
    <w:p>
      <w:pPr>
        <w:rPr>
          <w:rFonts w:hint="eastAsia" w:ascii="黑体" w:hAnsi="黑体" w:eastAsia="黑体" w:cs="黑体"/>
          <w:b w:val="0"/>
          <w:bCs/>
          <w:kern w:val="0"/>
          <w:sz w:val="28"/>
          <w:szCs w:val="28"/>
        </w:rPr>
      </w:pPr>
      <w:r>
        <w:rPr>
          <w:rFonts w:hint="eastAsia" w:ascii="黑体" w:hAnsi="黑体" w:eastAsia="黑体" w:cs="黑体"/>
          <w:b w:val="0"/>
          <w:bCs/>
          <w:kern w:val="0"/>
          <w:sz w:val="28"/>
          <w:szCs w:val="28"/>
        </w:rPr>
        <w:t>（一）师资队伍</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b w:val="0"/>
          <w:bCs/>
          <w:kern w:val="0"/>
          <w:sz w:val="24"/>
        </w:rPr>
      </w:pPr>
      <w:r>
        <w:rPr>
          <w:rFonts w:hint="eastAsia" w:ascii="黑体" w:hAnsi="黑体" w:eastAsia="黑体" w:cs="黑体"/>
          <w:b w:val="0"/>
          <w:bCs/>
          <w:kern w:val="0"/>
          <w:sz w:val="24"/>
        </w:rPr>
        <w:t>1、师资队伍数量与结构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宋体" w:hAnsi="宋体" w:cs="Segoe UI"/>
          <w:kern w:val="0"/>
          <w:sz w:val="24"/>
        </w:rPr>
      </w:pPr>
      <w:r>
        <w:rPr>
          <w:rFonts w:hint="eastAsia" w:ascii="宋体" w:hAnsi="宋体" w:cs="Segoe UI"/>
          <w:kern w:val="0"/>
          <w:sz w:val="24"/>
          <w:lang w:val="en-US" w:eastAsia="zh-CN"/>
        </w:rPr>
        <w:t>截止</w:t>
      </w:r>
      <w:r>
        <w:rPr>
          <w:rFonts w:hint="eastAsia" w:ascii="宋体" w:hAnsi="宋体" w:cs="Segoe UI"/>
          <w:kern w:val="0"/>
          <w:sz w:val="24"/>
        </w:rPr>
        <w:t>目前，学</w:t>
      </w:r>
      <w:r>
        <w:rPr>
          <w:rFonts w:hint="eastAsia" w:ascii="宋体" w:hAnsi="宋体" w:cs="Segoe UI"/>
          <w:kern w:val="0"/>
          <w:sz w:val="24"/>
          <w:lang w:val="en-US" w:eastAsia="zh-CN"/>
        </w:rPr>
        <w:t>院</w:t>
      </w:r>
      <w:r>
        <w:rPr>
          <w:rFonts w:hint="eastAsia" w:ascii="宋体" w:hAnsi="宋体" w:cs="Segoe UI"/>
          <w:kern w:val="0"/>
          <w:sz w:val="24"/>
        </w:rPr>
        <w:t>共有师资1</w:t>
      </w:r>
      <w:r>
        <w:rPr>
          <w:rFonts w:hint="eastAsia" w:ascii="宋体" w:hAnsi="宋体" w:cs="Segoe UI"/>
          <w:kern w:val="0"/>
          <w:sz w:val="24"/>
          <w:lang w:val="en-US" w:eastAsia="zh-CN"/>
        </w:rPr>
        <w:t>140</w:t>
      </w:r>
      <w:r>
        <w:rPr>
          <w:rFonts w:hint="eastAsia" w:ascii="宋体" w:hAnsi="宋体" w:cs="Segoe UI"/>
          <w:kern w:val="0"/>
          <w:sz w:val="24"/>
        </w:rPr>
        <w:t>人，其中专任教师</w:t>
      </w:r>
      <w:r>
        <w:rPr>
          <w:rFonts w:hint="eastAsia" w:ascii="宋体" w:hAnsi="宋体" w:cs="Segoe UI"/>
          <w:kern w:val="0"/>
          <w:sz w:val="24"/>
          <w:lang w:val="en-US" w:eastAsia="zh-CN"/>
        </w:rPr>
        <w:t>40</w:t>
      </w:r>
      <w:r>
        <w:rPr>
          <w:rFonts w:hint="eastAsia" w:ascii="宋体" w:hAnsi="宋体" w:cs="Segoe UI"/>
          <w:kern w:val="0"/>
          <w:sz w:val="24"/>
        </w:rPr>
        <w:t>人，外聘教师</w:t>
      </w:r>
      <w:r>
        <w:rPr>
          <w:rFonts w:hint="eastAsia" w:ascii="宋体" w:hAnsi="宋体" w:cs="Segoe UI"/>
          <w:kern w:val="0"/>
          <w:sz w:val="24"/>
          <w:lang w:val="en-US" w:eastAsia="zh-CN"/>
        </w:rPr>
        <w:t>1037</w:t>
      </w:r>
      <w:r>
        <w:rPr>
          <w:rFonts w:hint="eastAsia" w:ascii="宋体" w:hAnsi="宋体" w:cs="Segoe UI"/>
          <w:kern w:val="0"/>
          <w:sz w:val="24"/>
        </w:rPr>
        <w:t>人；专任教师中，教授2人，（见表</w:t>
      </w:r>
      <w:r>
        <w:rPr>
          <w:rFonts w:hint="eastAsia" w:ascii="宋体" w:hAnsi="宋体" w:cs="Segoe UI"/>
          <w:kern w:val="0"/>
          <w:sz w:val="24"/>
          <w:lang w:val="en-US" w:eastAsia="zh-CN"/>
        </w:rPr>
        <w:t>2</w:t>
      </w:r>
      <w:r>
        <w:rPr>
          <w:rFonts w:hint="eastAsia" w:ascii="宋体" w:hAnsi="宋体" w:cs="Segoe UI"/>
          <w:kern w:val="0"/>
          <w:sz w:val="24"/>
        </w:rPr>
        <w:t>）；博士</w:t>
      </w:r>
      <w:r>
        <w:rPr>
          <w:rFonts w:hint="eastAsia" w:ascii="宋体" w:hAnsi="宋体" w:cs="Segoe UI"/>
          <w:kern w:val="0"/>
          <w:sz w:val="24"/>
          <w:lang w:val="en-US" w:eastAsia="zh-CN"/>
        </w:rPr>
        <w:t>1</w:t>
      </w:r>
      <w:r>
        <w:rPr>
          <w:rFonts w:hint="eastAsia" w:ascii="宋体" w:hAnsi="宋体" w:cs="Segoe UI"/>
          <w:kern w:val="0"/>
          <w:sz w:val="24"/>
        </w:rPr>
        <w:t>人，硕士</w:t>
      </w:r>
      <w:r>
        <w:rPr>
          <w:rFonts w:hint="eastAsia" w:ascii="宋体" w:hAnsi="宋体" w:cs="Segoe UI"/>
          <w:kern w:val="0"/>
          <w:sz w:val="24"/>
          <w:lang w:val="en-US" w:eastAsia="zh-CN"/>
        </w:rPr>
        <w:t>13</w:t>
      </w:r>
      <w:r>
        <w:rPr>
          <w:rFonts w:hint="eastAsia" w:ascii="宋体" w:hAnsi="宋体" w:cs="Segoe UI"/>
          <w:kern w:val="0"/>
          <w:sz w:val="24"/>
        </w:rPr>
        <w:t>人（见表</w:t>
      </w:r>
      <w:r>
        <w:rPr>
          <w:rFonts w:hint="eastAsia" w:ascii="宋体" w:hAnsi="宋体" w:cs="Segoe UI"/>
          <w:kern w:val="0"/>
          <w:sz w:val="24"/>
          <w:lang w:val="en-US" w:eastAsia="zh-CN"/>
        </w:rPr>
        <w:t>3</w:t>
      </w:r>
      <w:r>
        <w:rPr>
          <w:rFonts w:hint="eastAsia" w:ascii="宋体" w:hAnsi="宋体" w:cs="Segoe UI"/>
          <w:kern w:val="0"/>
          <w:sz w:val="24"/>
        </w:rPr>
        <w:t>）。具有高级职称的比例为</w:t>
      </w:r>
      <w:r>
        <w:rPr>
          <w:rFonts w:hint="eastAsia" w:ascii="宋体" w:hAnsi="宋体" w:cs="Segoe UI"/>
          <w:kern w:val="0"/>
          <w:sz w:val="24"/>
          <w:lang w:val="en-US" w:eastAsia="zh-CN"/>
        </w:rPr>
        <w:t>5</w:t>
      </w:r>
      <w:r>
        <w:rPr>
          <w:rFonts w:ascii="宋体" w:hAnsi="宋体" w:cs="Segoe UI"/>
          <w:kern w:val="0"/>
          <w:sz w:val="24"/>
        </w:rPr>
        <w:t>%</w:t>
      </w:r>
      <w:r>
        <w:rPr>
          <w:rFonts w:hint="eastAsia" w:ascii="宋体" w:hAnsi="宋体" w:cs="Segoe UI"/>
          <w:kern w:val="0"/>
          <w:sz w:val="24"/>
        </w:rPr>
        <w:t>，具有博士、硕士学位比例为</w:t>
      </w:r>
      <w:r>
        <w:rPr>
          <w:rFonts w:hint="eastAsia" w:ascii="宋体" w:hAnsi="宋体" w:cs="Segoe UI"/>
          <w:kern w:val="0"/>
          <w:sz w:val="24"/>
          <w:lang w:val="en-US" w:eastAsia="zh-CN"/>
        </w:rPr>
        <w:t>35</w:t>
      </w:r>
      <w:r>
        <w:rPr>
          <w:rFonts w:ascii="宋体" w:hAnsi="宋体" w:cs="Segoe UI"/>
          <w:kern w:val="0"/>
          <w:sz w:val="24"/>
        </w:rPr>
        <w:t>%</w:t>
      </w:r>
      <w:r>
        <w:rPr>
          <w:rFonts w:hint="eastAsia" w:ascii="宋体" w:hAnsi="宋体" w:cs="Segoe UI"/>
          <w:kern w:val="0"/>
          <w:sz w:val="24"/>
        </w:rPr>
        <w:t>，35周岁以下教师比例为</w:t>
      </w:r>
      <w:r>
        <w:rPr>
          <w:rFonts w:hint="eastAsia" w:ascii="宋体" w:hAnsi="宋体" w:cs="Segoe UI"/>
          <w:kern w:val="0"/>
          <w:sz w:val="24"/>
          <w:lang w:val="en-US" w:eastAsia="zh-CN"/>
        </w:rPr>
        <w:t>95</w:t>
      </w:r>
      <w:r>
        <w:rPr>
          <w:rFonts w:ascii="宋体" w:hAnsi="宋体" w:cs="Segoe UI"/>
          <w:kern w:val="0"/>
          <w:sz w:val="24"/>
        </w:rPr>
        <w:t>%</w:t>
      </w:r>
      <w:r>
        <w:rPr>
          <w:rFonts w:hint="eastAsia" w:ascii="宋体" w:hAnsi="宋体" w:cs="Segoe UI"/>
          <w:kern w:val="0"/>
          <w:sz w:val="24"/>
        </w:rPr>
        <w:t>（见表</w:t>
      </w:r>
      <w:r>
        <w:rPr>
          <w:rFonts w:hint="eastAsia" w:ascii="宋体" w:hAnsi="宋体" w:cs="Segoe UI"/>
          <w:kern w:val="0"/>
          <w:sz w:val="24"/>
          <w:lang w:val="en-US" w:eastAsia="zh-CN"/>
        </w:rPr>
        <w:t>4</w:t>
      </w:r>
      <w:r>
        <w:rPr>
          <w:rFonts w:hint="eastAsia" w:ascii="宋体" w:hAnsi="宋体" w:cs="Segoe UI"/>
          <w:kern w:val="0"/>
          <w:sz w:val="24"/>
        </w:rPr>
        <w:t>）。目前学院专任教师队伍薄弱，主要依赖母体学校遵义医学院的师资支持，未来三年必须加强学院的专任教师队伍建设。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outlineLvl w:val="9"/>
        <w:rPr>
          <w:rFonts w:hint="eastAsia" w:ascii="宋体" w:hAnsi="宋体"/>
          <w:sz w:val="24"/>
        </w:rPr>
      </w:pPr>
    </w:p>
    <w:p>
      <w:pPr>
        <w:ind w:firstLine="480" w:firstLineChars="200"/>
        <w:jc w:val="center"/>
        <w:rPr>
          <w:rFonts w:hint="eastAsia" w:ascii="宋体" w:hAnsi="宋体"/>
          <w:sz w:val="24"/>
        </w:rPr>
      </w:pPr>
    </w:p>
    <w:p>
      <w:pPr>
        <w:ind w:firstLine="480" w:firstLineChars="200"/>
        <w:jc w:val="center"/>
        <w:rPr>
          <w:rFonts w:ascii="宋体" w:hAnsi="宋体"/>
          <w:sz w:val="24"/>
        </w:rPr>
      </w:pPr>
      <w:r>
        <w:rPr>
          <w:rFonts w:hint="eastAsia" w:ascii="宋体" w:hAnsi="宋体"/>
          <w:sz w:val="24"/>
        </w:rPr>
        <w:t>表</w:t>
      </w:r>
      <w:r>
        <w:rPr>
          <w:rFonts w:hint="eastAsia" w:ascii="宋体" w:hAnsi="宋体"/>
          <w:sz w:val="24"/>
          <w:lang w:val="en-US" w:eastAsia="zh-CN"/>
        </w:rPr>
        <w:t>2</w:t>
      </w:r>
      <w:r>
        <w:rPr>
          <w:rFonts w:hint="eastAsia" w:ascii="宋体" w:hAnsi="宋体"/>
          <w:sz w:val="24"/>
        </w:rPr>
        <w:t>：遵义医学院</w:t>
      </w:r>
      <w:r>
        <w:rPr>
          <w:rFonts w:hint="eastAsia" w:ascii="宋体" w:hAnsi="宋体"/>
          <w:sz w:val="24"/>
          <w:lang w:val="en-US" w:eastAsia="zh-CN"/>
        </w:rPr>
        <w:t>医学与科技学院</w:t>
      </w:r>
      <w:r>
        <w:rPr>
          <w:rFonts w:hint="eastAsia" w:ascii="宋体" w:hAnsi="宋体"/>
          <w:sz w:val="24"/>
        </w:rPr>
        <w:t>师资队伍职称结构一览表</w:t>
      </w:r>
    </w:p>
    <w:tbl>
      <w:tblPr>
        <w:tblStyle w:val="11"/>
        <w:tblW w:w="8528" w:type="dxa"/>
        <w:tblInd w:w="0" w:type="dxa"/>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1296"/>
        <w:gridCol w:w="1033"/>
        <w:gridCol w:w="787"/>
        <w:gridCol w:w="1279"/>
        <w:gridCol w:w="782"/>
        <w:gridCol w:w="1284"/>
        <w:gridCol w:w="777"/>
        <w:gridCol w:w="1290"/>
      </w:tblGrid>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PrEx>
        <w:trPr>
          <w:trHeight w:val="472" w:hRule="atLeast"/>
        </w:trPr>
        <w:tc>
          <w:tcPr>
            <w:tcW w:w="1296" w:type="dxa"/>
            <w:vMerge w:val="restart"/>
            <w:vAlign w:val="center"/>
          </w:tcPr>
          <w:p>
            <w:pPr>
              <w:ind w:left="-103" w:leftChars="-49" w:right="-101" w:rightChars="-48"/>
              <w:jc w:val="center"/>
              <w:rPr>
                <w:rFonts w:ascii="宋体" w:hAnsi="宋体" w:cs="Times New Roman"/>
                <w:b/>
                <w:sz w:val="24"/>
              </w:rPr>
            </w:pPr>
            <w:r>
              <w:rPr>
                <w:rFonts w:hint="eastAsia" w:ascii="宋体" w:hAnsi="宋体" w:cs="Times New Roman"/>
                <w:b/>
                <w:sz w:val="24"/>
              </w:rPr>
              <w:t>年度</w:t>
            </w:r>
          </w:p>
        </w:tc>
        <w:tc>
          <w:tcPr>
            <w:tcW w:w="1033" w:type="dxa"/>
            <w:vMerge w:val="restart"/>
            <w:vAlign w:val="center"/>
          </w:tcPr>
          <w:p>
            <w:pPr>
              <w:snapToGrid w:val="0"/>
              <w:jc w:val="center"/>
              <w:rPr>
                <w:rFonts w:ascii="宋体" w:hAnsi="宋体" w:cs="Times New Roman"/>
                <w:b/>
                <w:sz w:val="24"/>
              </w:rPr>
            </w:pPr>
            <w:r>
              <w:rPr>
                <w:rFonts w:hint="eastAsia" w:ascii="宋体" w:hAnsi="宋体" w:cs="Times New Roman"/>
                <w:b/>
                <w:sz w:val="24"/>
              </w:rPr>
              <w:t>专任</w:t>
            </w:r>
          </w:p>
          <w:p>
            <w:pPr>
              <w:snapToGrid w:val="0"/>
              <w:jc w:val="center"/>
              <w:rPr>
                <w:rFonts w:ascii="宋体" w:hAnsi="宋体" w:cs="Times New Roman"/>
                <w:b/>
                <w:sz w:val="24"/>
              </w:rPr>
            </w:pPr>
            <w:r>
              <w:rPr>
                <w:rFonts w:hint="eastAsia" w:ascii="宋体" w:hAnsi="宋体" w:cs="Times New Roman"/>
                <w:b/>
                <w:sz w:val="24"/>
              </w:rPr>
              <w:t>教师数</w:t>
            </w:r>
          </w:p>
        </w:tc>
        <w:tc>
          <w:tcPr>
            <w:tcW w:w="2066" w:type="dxa"/>
            <w:gridSpan w:val="2"/>
            <w:vAlign w:val="center"/>
          </w:tcPr>
          <w:p>
            <w:pPr>
              <w:ind w:firstLine="354" w:firstLineChars="147"/>
              <w:jc w:val="center"/>
              <w:rPr>
                <w:rFonts w:ascii="宋体" w:hAnsi="宋体" w:cs="Times New Roman"/>
                <w:b/>
                <w:sz w:val="24"/>
              </w:rPr>
            </w:pPr>
            <w:r>
              <w:rPr>
                <w:rFonts w:hint="eastAsia" w:ascii="宋体" w:hAnsi="宋体" w:cs="Times New Roman"/>
                <w:b/>
                <w:sz w:val="24"/>
              </w:rPr>
              <w:t>教授级</w:t>
            </w:r>
          </w:p>
        </w:tc>
        <w:tc>
          <w:tcPr>
            <w:tcW w:w="2066" w:type="dxa"/>
            <w:gridSpan w:val="2"/>
            <w:vAlign w:val="center"/>
          </w:tcPr>
          <w:p>
            <w:pPr>
              <w:jc w:val="center"/>
              <w:rPr>
                <w:rFonts w:ascii="宋体" w:hAnsi="宋体" w:cs="Times New Roman"/>
                <w:b/>
                <w:sz w:val="24"/>
              </w:rPr>
            </w:pPr>
            <w:r>
              <w:rPr>
                <w:rFonts w:hint="eastAsia" w:ascii="宋体" w:hAnsi="宋体" w:cs="Times New Roman"/>
                <w:b/>
                <w:sz w:val="24"/>
              </w:rPr>
              <w:t>副教授级</w:t>
            </w:r>
          </w:p>
        </w:tc>
        <w:tc>
          <w:tcPr>
            <w:tcW w:w="2067" w:type="dxa"/>
            <w:gridSpan w:val="2"/>
            <w:vAlign w:val="center"/>
          </w:tcPr>
          <w:p>
            <w:pPr>
              <w:jc w:val="center"/>
              <w:rPr>
                <w:rFonts w:ascii="宋体" w:hAnsi="宋体" w:cs="Times New Roman"/>
                <w:b/>
                <w:sz w:val="24"/>
              </w:rPr>
            </w:pPr>
            <w:r>
              <w:rPr>
                <w:rFonts w:hint="eastAsia" w:ascii="宋体" w:hAnsi="宋体" w:cs="Times New Roman"/>
                <w:b/>
                <w:sz w:val="24"/>
              </w:rPr>
              <w:t>讲师级</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Ex>
        <w:trPr>
          <w:trHeight w:val="518" w:hRule="atLeast"/>
        </w:trPr>
        <w:tc>
          <w:tcPr>
            <w:tcW w:w="1296" w:type="dxa"/>
            <w:vMerge w:val="continue"/>
            <w:vAlign w:val="center"/>
          </w:tcPr>
          <w:p>
            <w:pPr>
              <w:jc w:val="center"/>
              <w:rPr>
                <w:rFonts w:ascii="宋体" w:hAnsi="宋体" w:cs="Times New Roman"/>
                <w:sz w:val="24"/>
              </w:rPr>
            </w:pPr>
          </w:p>
        </w:tc>
        <w:tc>
          <w:tcPr>
            <w:tcW w:w="1033" w:type="dxa"/>
            <w:vMerge w:val="continue"/>
            <w:vAlign w:val="center"/>
          </w:tcPr>
          <w:p>
            <w:pPr>
              <w:jc w:val="center"/>
              <w:rPr>
                <w:rFonts w:ascii="宋体" w:hAnsi="宋体" w:cs="Times New Roman"/>
                <w:sz w:val="24"/>
              </w:rPr>
            </w:pPr>
          </w:p>
        </w:tc>
        <w:tc>
          <w:tcPr>
            <w:tcW w:w="787" w:type="dxa"/>
            <w:vAlign w:val="center"/>
          </w:tcPr>
          <w:p>
            <w:pPr>
              <w:jc w:val="center"/>
              <w:rPr>
                <w:rFonts w:ascii="宋体" w:hAnsi="宋体" w:cs="Times New Roman"/>
                <w:sz w:val="24"/>
              </w:rPr>
            </w:pPr>
            <w:r>
              <w:rPr>
                <w:rFonts w:hint="eastAsia" w:ascii="宋体" w:hAnsi="宋体" w:cs="Times New Roman"/>
                <w:b/>
                <w:sz w:val="24"/>
              </w:rPr>
              <w:t>人数</w:t>
            </w:r>
          </w:p>
        </w:tc>
        <w:tc>
          <w:tcPr>
            <w:tcW w:w="1279" w:type="dxa"/>
            <w:vAlign w:val="center"/>
          </w:tcPr>
          <w:p>
            <w:pPr>
              <w:jc w:val="center"/>
              <w:rPr>
                <w:rFonts w:ascii="宋体" w:hAnsi="宋体" w:cs="Times New Roman"/>
                <w:sz w:val="24"/>
              </w:rPr>
            </w:pPr>
            <w:r>
              <w:rPr>
                <w:rFonts w:hint="eastAsia" w:ascii="宋体" w:hAnsi="宋体" w:cs="Times New Roman"/>
                <w:b/>
                <w:sz w:val="24"/>
              </w:rPr>
              <w:t>比例(％)</w:t>
            </w:r>
          </w:p>
        </w:tc>
        <w:tc>
          <w:tcPr>
            <w:tcW w:w="782" w:type="dxa"/>
            <w:vAlign w:val="center"/>
          </w:tcPr>
          <w:p>
            <w:pPr>
              <w:jc w:val="center"/>
              <w:rPr>
                <w:rFonts w:ascii="宋体" w:hAnsi="宋体" w:cs="Times New Roman"/>
                <w:sz w:val="24"/>
              </w:rPr>
            </w:pPr>
            <w:r>
              <w:rPr>
                <w:rFonts w:hint="eastAsia" w:ascii="宋体" w:hAnsi="宋体" w:cs="Times New Roman"/>
                <w:b/>
                <w:sz w:val="24"/>
              </w:rPr>
              <w:t>人数</w:t>
            </w:r>
          </w:p>
        </w:tc>
        <w:tc>
          <w:tcPr>
            <w:tcW w:w="1284" w:type="dxa"/>
            <w:vAlign w:val="center"/>
          </w:tcPr>
          <w:p>
            <w:pPr>
              <w:jc w:val="center"/>
              <w:rPr>
                <w:rFonts w:ascii="宋体" w:hAnsi="宋体" w:cs="Times New Roman"/>
                <w:b/>
                <w:sz w:val="24"/>
              </w:rPr>
            </w:pPr>
            <w:r>
              <w:rPr>
                <w:rFonts w:hint="eastAsia" w:ascii="宋体" w:hAnsi="宋体" w:cs="Times New Roman"/>
                <w:b/>
                <w:sz w:val="24"/>
              </w:rPr>
              <w:t>比例(％)</w:t>
            </w:r>
          </w:p>
        </w:tc>
        <w:tc>
          <w:tcPr>
            <w:tcW w:w="777" w:type="dxa"/>
            <w:vAlign w:val="center"/>
          </w:tcPr>
          <w:p>
            <w:pPr>
              <w:jc w:val="center"/>
              <w:rPr>
                <w:rFonts w:ascii="宋体" w:hAnsi="宋体" w:cs="Times New Roman"/>
                <w:b/>
                <w:sz w:val="24"/>
              </w:rPr>
            </w:pPr>
            <w:r>
              <w:rPr>
                <w:rFonts w:hint="eastAsia" w:ascii="宋体" w:hAnsi="宋体" w:cs="Times New Roman"/>
                <w:b/>
                <w:sz w:val="24"/>
              </w:rPr>
              <w:t>人数</w:t>
            </w:r>
          </w:p>
        </w:tc>
        <w:tc>
          <w:tcPr>
            <w:tcW w:w="1290" w:type="dxa"/>
            <w:vAlign w:val="center"/>
          </w:tcPr>
          <w:p>
            <w:pPr>
              <w:jc w:val="center"/>
              <w:rPr>
                <w:rFonts w:ascii="宋体" w:hAnsi="宋体" w:cs="Times New Roman"/>
                <w:b/>
                <w:sz w:val="24"/>
              </w:rPr>
            </w:pPr>
            <w:r>
              <w:rPr>
                <w:rFonts w:hint="eastAsia" w:ascii="宋体" w:hAnsi="宋体" w:cs="Times New Roman"/>
                <w:b/>
                <w:sz w:val="24"/>
              </w:rPr>
              <w:t>比例(％)</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Ex>
        <w:trPr>
          <w:trHeight w:val="512" w:hRule="atLeast"/>
        </w:trPr>
        <w:tc>
          <w:tcPr>
            <w:tcW w:w="1296" w:type="dxa"/>
            <w:vAlign w:val="center"/>
          </w:tcPr>
          <w:p>
            <w:pPr>
              <w:jc w:val="center"/>
              <w:rPr>
                <w:rFonts w:hint="eastAsia" w:ascii="宋体" w:hAnsi="宋体" w:eastAsia="宋体"/>
                <w:sz w:val="24"/>
                <w:lang w:val="en-US" w:eastAsia="zh-CN"/>
              </w:rPr>
            </w:pPr>
            <w:r>
              <w:rPr>
                <w:rFonts w:hint="eastAsia" w:ascii="宋体" w:hAnsi="宋体"/>
                <w:sz w:val="24"/>
              </w:rPr>
              <w:t>20</w:t>
            </w:r>
            <w:r>
              <w:rPr>
                <w:rFonts w:hint="eastAsia" w:ascii="宋体" w:hAnsi="宋体"/>
                <w:sz w:val="24"/>
                <w:lang w:val="en-US" w:eastAsia="zh-CN"/>
              </w:rPr>
              <w:t>17-2018</w:t>
            </w:r>
          </w:p>
        </w:tc>
        <w:tc>
          <w:tcPr>
            <w:tcW w:w="1033"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40</w:t>
            </w:r>
          </w:p>
        </w:tc>
        <w:tc>
          <w:tcPr>
            <w:tcW w:w="787" w:type="dxa"/>
            <w:vAlign w:val="center"/>
          </w:tcPr>
          <w:p>
            <w:pPr>
              <w:jc w:val="center"/>
              <w:rPr>
                <w:rFonts w:hint="eastAsia" w:ascii="宋体" w:hAnsi="宋体" w:eastAsia="宋体" w:cs="楷体"/>
                <w:sz w:val="24"/>
                <w:lang w:val="en-US" w:eastAsia="zh-CN"/>
              </w:rPr>
            </w:pPr>
            <w:r>
              <w:rPr>
                <w:rFonts w:hint="eastAsia" w:ascii="宋体" w:hAnsi="宋体" w:cs="楷体"/>
                <w:sz w:val="24"/>
                <w:lang w:val="en-US" w:eastAsia="zh-CN"/>
              </w:rPr>
              <w:t>2</w:t>
            </w:r>
          </w:p>
        </w:tc>
        <w:tc>
          <w:tcPr>
            <w:tcW w:w="1279"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5</w:t>
            </w:r>
          </w:p>
        </w:tc>
        <w:tc>
          <w:tcPr>
            <w:tcW w:w="782"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0</w:t>
            </w:r>
          </w:p>
        </w:tc>
        <w:tc>
          <w:tcPr>
            <w:tcW w:w="1284"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0</w:t>
            </w:r>
          </w:p>
        </w:tc>
        <w:tc>
          <w:tcPr>
            <w:tcW w:w="777" w:type="dxa"/>
            <w:vAlign w:val="center"/>
          </w:tcPr>
          <w:p>
            <w:pPr>
              <w:jc w:val="center"/>
              <w:rPr>
                <w:rFonts w:hint="eastAsia" w:ascii="宋体" w:hAnsi="宋体" w:eastAsia="宋体" w:cs="楷体"/>
                <w:sz w:val="24"/>
                <w:lang w:val="en-US" w:eastAsia="zh-CN"/>
              </w:rPr>
            </w:pPr>
            <w:r>
              <w:rPr>
                <w:rFonts w:hint="eastAsia" w:ascii="宋体" w:hAnsi="宋体" w:cs="楷体"/>
                <w:sz w:val="24"/>
                <w:lang w:val="en-US" w:eastAsia="zh-CN"/>
              </w:rPr>
              <w:t>38</w:t>
            </w:r>
          </w:p>
        </w:tc>
        <w:tc>
          <w:tcPr>
            <w:tcW w:w="1290"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95</w:t>
            </w:r>
          </w:p>
        </w:tc>
      </w:tr>
    </w:tbl>
    <w:p>
      <w:pPr>
        <w:ind w:firstLine="480" w:firstLineChars="200"/>
        <w:jc w:val="center"/>
        <w:rPr>
          <w:rFonts w:ascii="宋体" w:hAnsi="宋体"/>
          <w:sz w:val="24"/>
        </w:rPr>
      </w:pPr>
    </w:p>
    <w:p>
      <w:pPr>
        <w:ind w:firstLine="480" w:firstLineChars="200"/>
        <w:jc w:val="center"/>
        <w:rPr>
          <w:rFonts w:ascii="宋体" w:hAnsi="宋体" w:cs="Segoe UI"/>
          <w:kern w:val="0"/>
          <w:sz w:val="24"/>
        </w:rPr>
      </w:pPr>
      <w:r>
        <w:rPr>
          <w:rFonts w:hint="eastAsia" w:ascii="宋体" w:hAnsi="宋体"/>
          <w:sz w:val="24"/>
        </w:rPr>
        <w:t>表</w:t>
      </w:r>
      <w:r>
        <w:rPr>
          <w:rFonts w:hint="eastAsia" w:ascii="宋体" w:hAnsi="宋体"/>
          <w:sz w:val="24"/>
          <w:lang w:val="en-US" w:eastAsia="zh-CN"/>
        </w:rPr>
        <w:t>3</w:t>
      </w:r>
      <w:r>
        <w:rPr>
          <w:rFonts w:hint="eastAsia" w:ascii="宋体" w:hAnsi="宋体"/>
          <w:sz w:val="24"/>
        </w:rPr>
        <w:t>：遵义医学院</w:t>
      </w:r>
      <w:r>
        <w:rPr>
          <w:rFonts w:hint="eastAsia" w:ascii="宋体" w:hAnsi="宋体"/>
          <w:sz w:val="24"/>
          <w:lang w:val="en-US" w:eastAsia="zh-CN"/>
        </w:rPr>
        <w:t>医学与科技学院</w:t>
      </w:r>
      <w:r>
        <w:rPr>
          <w:rFonts w:hint="eastAsia" w:ascii="宋体" w:hAnsi="宋体"/>
          <w:sz w:val="24"/>
        </w:rPr>
        <w:t>师资队伍学历结构一览表</w:t>
      </w:r>
    </w:p>
    <w:tbl>
      <w:tblPr>
        <w:tblStyle w:val="11"/>
        <w:tblW w:w="8595" w:type="dxa"/>
        <w:tblInd w:w="0" w:type="dxa"/>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1297"/>
        <w:gridCol w:w="1045"/>
        <w:gridCol w:w="798"/>
        <w:gridCol w:w="1292"/>
        <w:gridCol w:w="794"/>
        <w:gridCol w:w="1297"/>
        <w:gridCol w:w="779"/>
        <w:gridCol w:w="1293"/>
      </w:tblGrid>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Ex>
        <w:trPr>
          <w:trHeight w:val="451" w:hRule="atLeast"/>
        </w:trPr>
        <w:tc>
          <w:tcPr>
            <w:tcW w:w="1297" w:type="dxa"/>
            <w:vMerge w:val="restart"/>
            <w:vAlign w:val="center"/>
          </w:tcPr>
          <w:p>
            <w:pPr>
              <w:ind w:left="-103" w:leftChars="-49" w:right="-101" w:rightChars="-48"/>
              <w:jc w:val="center"/>
              <w:rPr>
                <w:rFonts w:ascii="宋体" w:hAnsi="宋体" w:cs="Times New Roman"/>
                <w:b/>
                <w:sz w:val="24"/>
              </w:rPr>
            </w:pPr>
            <w:r>
              <w:rPr>
                <w:rFonts w:hint="eastAsia" w:ascii="宋体" w:hAnsi="宋体" w:cs="Times New Roman"/>
                <w:b/>
                <w:sz w:val="24"/>
              </w:rPr>
              <w:t>年度</w:t>
            </w:r>
          </w:p>
        </w:tc>
        <w:tc>
          <w:tcPr>
            <w:tcW w:w="1045" w:type="dxa"/>
            <w:vMerge w:val="restart"/>
            <w:vAlign w:val="center"/>
          </w:tcPr>
          <w:p>
            <w:pPr>
              <w:snapToGrid w:val="0"/>
              <w:jc w:val="center"/>
              <w:rPr>
                <w:rFonts w:ascii="宋体" w:hAnsi="宋体" w:cs="Times New Roman"/>
                <w:b/>
                <w:sz w:val="24"/>
              </w:rPr>
            </w:pPr>
            <w:r>
              <w:rPr>
                <w:rFonts w:hint="eastAsia" w:ascii="宋体" w:hAnsi="宋体" w:cs="Times New Roman"/>
                <w:b/>
                <w:sz w:val="24"/>
              </w:rPr>
              <w:t>专任</w:t>
            </w:r>
          </w:p>
          <w:p>
            <w:pPr>
              <w:snapToGrid w:val="0"/>
              <w:jc w:val="center"/>
              <w:rPr>
                <w:rFonts w:ascii="宋体" w:hAnsi="宋体" w:cs="Times New Roman"/>
                <w:b/>
                <w:sz w:val="24"/>
              </w:rPr>
            </w:pPr>
            <w:r>
              <w:rPr>
                <w:rFonts w:hint="eastAsia" w:ascii="宋体" w:hAnsi="宋体" w:cs="Times New Roman"/>
                <w:b/>
                <w:sz w:val="24"/>
              </w:rPr>
              <w:t>教师数</w:t>
            </w:r>
          </w:p>
        </w:tc>
        <w:tc>
          <w:tcPr>
            <w:tcW w:w="2090" w:type="dxa"/>
            <w:gridSpan w:val="2"/>
            <w:vAlign w:val="center"/>
          </w:tcPr>
          <w:p>
            <w:pPr>
              <w:ind w:firstLine="354" w:firstLineChars="147"/>
              <w:jc w:val="center"/>
              <w:rPr>
                <w:rFonts w:ascii="宋体" w:hAnsi="宋体" w:cs="Times New Roman"/>
                <w:b/>
                <w:sz w:val="24"/>
              </w:rPr>
            </w:pPr>
            <w:r>
              <w:rPr>
                <w:rFonts w:hint="eastAsia" w:ascii="宋体" w:hAnsi="宋体" w:cs="Times New Roman"/>
                <w:b/>
                <w:sz w:val="24"/>
              </w:rPr>
              <w:t>博士</w:t>
            </w:r>
          </w:p>
        </w:tc>
        <w:tc>
          <w:tcPr>
            <w:tcW w:w="2091" w:type="dxa"/>
            <w:gridSpan w:val="2"/>
            <w:vAlign w:val="center"/>
          </w:tcPr>
          <w:p>
            <w:pPr>
              <w:jc w:val="center"/>
              <w:rPr>
                <w:rFonts w:ascii="宋体" w:hAnsi="宋体" w:cs="Times New Roman"/>
                <w:b/>
                <w:sz w:val="24"/>
              </w:rPr>
            </w:pPr>
            <w:r>
              <w:rPr>
                <w:rFonts w:hint="eastAsia" w:ascii="宋体" w:hAnsi="宋体" w:cs="Times New Roman"/>
                <w:b/>
                <w:sz w:val="24"/>
              </w:rPr>
              <w:t>硕士</w:t>
            </w:r>
          </w:p>
        </w:tc>
        <w:tc>
          <w:tcPr>
            <w:tcW w:w="2072" w:type="dxa"/>
            <w:gridSpan w:val="2"/>
            <w:vAlign w:val="center"/>
          </w:tcPr>
          <w:p>
            <w:pPr>
              <w:jc w:val="center"/>
              <w:rPr>
                <w:rFonts w:ascii="宋体" w:hAnsi="宋体" w:cs="Times New Roman"/>
                <w:b/>
                <w:sz w:val="24"/>
              </w:rPr>
            </w:pPr>
            <w:r>
              <w:rPr>
                <w:rFonts w:hint="eastAsia" w:ascii="宋体" w:hAnsi="宋体" w:cs="Times New Roman"/>
                <w:b/>
                <w:sz w:val="24"/>
              </w:rPr>
              <w:t>本科</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Ex>
        <w:trPr>
          <w:trHeight w:val="545" w:hRule="atLeast"/>
        </w:trPr>
        <w:tc>
          <w:tcPr>
            <w:tcW w:w="1297" w:type="dxa"/>
            <w:vMerge w:val="continue"/>
            <w:vAlign w:val="center"/>
          </w:tcPr>
          <w:p>
            <w:pPr>
              <w:jc w:val="center"/>
              <w:rPr>
                <w:rFonts w:ascii="宋体" w:hAnsi="宋体" w:cs="Times New Roman"/>
                <w:sz w:val="24"/>
              </w:rPr>
            </w:pPr>
          </w:p>
        </w:tc>
        <w:tc>
          <w:tcPr>
            <w:tcW w:w="1045" w:type="dxa"/>
            <w:vMerge w:val="continue"/>
            <w:vAlign w:val="center"/>
          </w:tcPr>
          <w:p>
            <w:pPr>
              <w:jc w:val="center"/>
              <w:rPr>
                <w:rFonts w:ascii="宋体" w:hAnsi="宋体" w:cs="Times New Roman"/>
                <w:sz w:val="24"/>
              </w:rPr>
            </w:pPr>
          </w:p>
        </w:tc>
        <w:tc>
          <w:tcPr>
            <w:tcW w:w="798" w:type="dxa"/>
            <w:vAlign w:val="center"/>
          </w:tcPr>
          <w:p>
            <w:pPr>
              <w:jc w:val="center"/>
              <w:rPr>
                <w:rFonts w:ascii="宋体" w:hAnsi="宋体" w:cs="Times New Roman"/>
                <w:sz w:val="24"/>
              </w:rPr>
            </w:pPr>
            <w:r>
              <w:rPr>
                <w:rFonts w:hint="eastAsia" w:ascii="宋体" w:hAnsi="宋体" w:cs="Times New Roman"/>
                <w:b/>
                <w:sz w:val="24"/>
              </w:rPr>
              <w:t>人数</w:t>
            </w:r>
          </w:p>
        </w:tc>
        <w:tc>
          <w:tcPr>
            <w:tcW w:w="1292" w:type="dxa"/>
            <w:vAlign w:val="center"/>
          </w:tcPr>
          <w:p>
            <w:pPr>
              <w:jc w:val="center"/>
              <w:rPr>
                <w:rFonts w:ascii="宋体" w:hAnsi="宋体" w:cs="Times New Roman"/>
                <w:sz w:val="24"/>
              </w:rPr>
            </w:pPr>
            <w:r>
              <w:rPr>
                <w:rFonts w:hint="eastAsia" w:ascii="宋体" w:hAnsi="宋体" w:cs="Times New Roman"/>
                <w:b/>
                <w:sz w:val="24"/>
              </w:rPr>
              <w:t>比例(％)</w:t>
            </w:r>
          </w:p>
        </w:tc>
        <w:tc>
          <w:tcPr>
            <w:tcW w:w="794" w:type="dxa"/>
            <w:vAlign w:val="center"/>
          </w:tcPr>
          <w:p>
            <w:pPr>
              <w:jc w:val="center"/>
              <w:rPr>
                <w:rFonts w:ascii="宋体" w:hAnsi="宋体" w:cs="Times New Roman"/>
                <w:sz w:val="24"/>
              </w:rPr>
            </w:pPr>
            <w:r>
              <w:rPr>
                <w:rFonts w:hint="eastAsia" w:ascii="宋体" w:hAnsi="宋体" w:cs="Times New Roman"/>
                <w:b/>
                <w:sz w:val="24"/>
              </w:rPr>
              <w:t>人数</w:t>
            </w:r>
          </w:p>
        </w:tc>
        <w:tc>
          <w:tcPr>
            <w:tcW w:w="1297" w:type="dxa"/>
            <w:vAlign w:val="center"/>
          </w:tcPr>
          <w:p>
            <w:pPr>
              <w:snapToGrid w:val="0"/>
              <w:jc w:val="center"/>
              <w:rPr>
                <w:rFonts w:ascii="宋体" w:hAnsi="宋体" w:cs="Times New Roman"/>
                <w:b/>
                <w:sz w:val="24"/>
              </w:rPr>
            </w:pPr>
            <w:r>
              <w:rPr>
                <w:rFonts w:hint="eastAsia" w:ascii="宋体" w:hAnsi="宋体" w:cs="Times New Roman"/>
                <w:b/>
                <w:sz w:val="24"/>
              </w:rPr>
              <w:t>比例(％)</w:t>
            </w:r>
          </w:p>
        </w:tc>
        <w:tc>
          <w:tcPr>
            <w:tcW w:w="779" w:type="dxa"/>
            <w:vAlign w:val="center"/>
          </w:tcPr>
          <w:p>
            <w:pPr>
              <w:jc w:val="center"/>
              <w:rPr>
                <w:rFonts w:ascii="宋体" w:hAnsi="宋体" w:cs="Times New Roman"/>
                <w:b/>
                <w:sz w:val="24"/>
              </w:rPr>
            </w:pPr>
            <w:r>
              <w:rPr>
                <w:rFonts w:hint="eastAsia" w:ascii="宋体" w:hAnsi="宋体" w:cs="Times New Roman"/>
                <w:b/>
                <w:sz w:val="24"/>
              </w:rPr>
              <w:t>人数</w:t>
            </w:r>
          </w:p>
        </w:tc>
        <w:tc>
          <w:tcPr>
            <w:tcW w:w="1293" w:type="dxa"/>
            <w:vAlign w:val="center"/>
          </w:tcPr>
          <w:p>
            <w:pPr>
              <w:snapToGrid w:val="0"/>
              <w:jc w:val="center"/>
              <w:rPr>
                <w:rFonts w:ascii="宋体" w:hAnsi="宋体" w:cs="Times New Roman"/>
                <w:b/>
                <w:sz w:val="24"/>
              </w:rPr>
            </w:pPr>
            <w:r>
              <w:rPr>
                <w:rFonts w:hint="eastAsia" w:ascii="宋体" w:hAnsi="宋体" w:cs="Times New Roman"/>
                <w:b/>
                <w:sz w:val="24"/>
              </w:rPr>
              <w:t>比例(％)</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Ex>
        <w:trPr>
          <w:trHeight w:val="490" w:hRule="atLeast"/>
        </w:trPr>
        <w:tc>
          <w:tcPr>
            <w:tcW w:w="1297" w:type="dxa"/>
            <w:vAlign w:val="center"/>
          </w:tcPr>
          <w:p>
            <w:pPr>
              <w:jc w:val="center"/>
              <w:rPr>
                <w:rFonts w:hint="eastAsia" w:ascii="宋体" w:hAnsi="宋体" w:eastAsia="宋体"/>
                <w:sz w:val="24"/>
                <w:lang w:val="en-US" w:eastAsia="zh-CN"/>
              </w:rPr>
            </w:pPr>
            <w:r>
              <w:rPr>
                <w:rFonts w:hint="eastAsia" w:ascii="宋体" w:hAnsi="宋体"/>
                <w:sz w:val="24"/>
              </w:rPr>
              <w:t>201</w:t>
            </w:r>
            <w:r>
              <w:rPr>
                <w:rFonts w:hint="eastAsia" w:ascii="宋体" w:hAnsi="宋体"/>
                <w:sz w:val="24"/>
                <w:lang w:val="en-US" w:eastAsia="zh-CN"/>
              </w:rPr>
              <w:t>7-2018</w:t>
            </w:r>
          </w:p>
        </w:tc>
        <w:tc>
          <w:tcPr>
            <w:tcW w:w="1045"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40</w:t>
            </w:r>
          </w:p>
        </w:tc>
        <w:tc>
          <w:tcPr>
            <w:tcW w:w="798"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1</w:t>
            </w:r>
          </w:p>
        </w:tc>
        <w:tc>
          <w:tcPr>
            <w:tcW w:w="1292"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2.5</w:t>
            </w:r>
          </w:p>
        </w:tc>
        <w:tc>
          <w:tcPr>
            <w:tcW w:w="794"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13</w:t>
            </w:r>
          </w:p>
        </w:tc>
        <w:tc>
          <w:tcPr>
            <w:tcW w:w="1297"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32.5</w:t>
            </w:r>
          </w:p>
        </w:tc>
        <w:tc>
          <w:tcPr>
            <w:tcW w:w="779"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26</w:t>
            </w:r>
          </w:p>
        </w:tc>
        <w:tc>
          <w:tcPr>
            <w:tcW w:w="1293"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65</w:t>
            </w:r>
          </w:p>
        </w:tc>
      </w:tr>
    </w:tbl>
    <w:p>
      <w:pPr>
        <w:ind w:firstLine="480" w:firstLineChars="200"/>
        <w:jc w:val="center"/>
        <w:rPr>
          <w:rFonts w:ascii="宋体" w:hAnsi="宋体"/>
          <w:sz w:val="24"/>
        </w:rPr>
      </w:pPr>
    </w:p>
    <w:p>
      <w:pPr>
        <w:ind w:firstLine="480" w:firstLineChars="200"/>
        <w:jc w:val="center"/>
        <w:rPr>
          <w:rFonts w:ascii="宋体" w:hAnsi="宋体" w:cs="Segoe UI"/>
          <w:kern w:val="0"/>
          <w:sz w:val="24"/>
        </w:rPr>
      </w:pPr>
      <w:r>
        <w:rPr>
          <w:rFonts w:hint="eastAsia" w:ascii="宋体" w:hAnsi="宋体"/>
          <w:sz w:val="24"/>
        </w:rPr>
        <w:t>表</w:t>
      </w:r>
      <w:r>
        <w:rPr>
          <w:rFonts w:hint="eastAsia" w:ascii="宋体" w:hAnsi="宋体"/>
          <w:sz w:val="24"/>
          <w:lang w:val="en-US" w:eastAsia="zh-CN"/>
        </w:rPr>
        <w:t>4</w:t>
      </w:r>
      <w:r>
        <w:rPr>
          <w:rFonts w:hint="eastAsia" w:ascii="宋体" w:hAnsi="宋体"/>
          <w:sz w:val="24"/>
        </w:rPr>
        <w:t>：遵义医学院</w:t>
      </w:r>
      <w:r>
        <w:rPr>
          <w:rFonts w:hint="eastAsia" w:ascii="宋体" w:hAnsi="宋体"/>
          <w:sz w:val="24"/>
          <w:lang w:val="en-US" w:eastAsia="zh-CN"/>
        </w:rPr>
        <w:t>医学与科技学院</w:t>
      </w:r>
      <w:r>
        <w:rPr>
          <w:rFonts w:hint="eastAsia" w:ascii="宋体" w:hAnsi="宋体"/>
          <w:sz w:val="24"/>
        </w:rPr>
        <w:t>师资队伍年龄结构一览表</w:t>
      </w:r>
    </w:p>
    <w:tbl>
      <w:tblPr>
        <w:tblStyle w:val="11"/>
        <w:tblW w:w="8536" w:type="dxa"/>
        <w:tblInd w:w="0" w:type="dxa"/>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1297"/>
        <w:gridCol w:w="1034"/>
        <w:gridCol w:w="790"/>
        <w:gridCol w:w="1278"/>
        <w:gridCol w:w="786"/>
        <w:gridCol w:w="1283"/>
        <w:gridCol w:w="780"/>
        <w:gridCol w:w="1288"/>
      </w:tblGrid>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Ex>
        <w:trPr>
          <w:trHeight w:val="410" w:hRule="atLeast"/>
        </w:trPr>
        <w:tc>
          <w:tcPr>
            <w:tcW w:w="1297" w:type="dxa"/>
            <w:vMerge w:val="restart"/>
            <w:vAlign w:val="center"/>
          </w:tcPr>
          <w:p>
            <w:pPr>
              <w:ind w:left="-103" w:leftChars="-49" w:right="-101" w:rightChars="-48"/>
              <w:jc w:val="center"/>
              <w:rPr>
                <w:rFonts w:ascii="宋体" w:hAnsi="宋体" w:cs="Times New Roman"/>
                <w:b/>
                <w:sz w:val="24"/>
              </w:rPr>
            </w:pPr>
            <w:r>
              <w:rPr>
                <w:rFonts w:hint="eastAsia" w:ascii="宋体" w:hAnsi="宋体" w:cs="Times New Roman"/>
                <w:b/>
                <w:sz w:val="24"/>
              </w:rPr>
              <w:t>年度</w:t>
            </w:r>
          </w:p>
        </w:tc>
        <w:tc>
          <w:tcPr>
            <w:tcW w:w="1034" w:type="dxa"/>
            <w:vMerge w:val="restart"/>
            <w:vAlign w:val="center"/>
          </w:tcPr>
          <w:p>
            <w:pPr>
              <w:snapToGrid w:val="0"/>
              <w:jc w:val="center"/>
              <w:rPr>
                <w:rFonts w:ascii="宋体" w:hAnsi="宋体" w:cs="Times New Roman"/>
                <w:b/>
                <w:sz w:val="24"/>
              </w:rPr>
            </w:pPr>
            <w:r>
              <w:rPr>
                <w:rFonts w:hint="eastAsia" w:ascii="宋体" w:hAnsi="宋体" w:cs="Times New Roman"/>
                <w:b/>
                <w:sz w:val="24"/>
              </w:rPr>
              <w:t>专任</w:t>
            </w:r>
          </w:p>
          <w:p>
            <w:pPr>
              <w:snapToGrid w:val="0"/>
              <w:jc w:val="center"/>
              <w:rPr>
                <w:rFonts w:ascii="宋体" w:hAnsi="宋体" w:cs="Times New Roman"/>
                <w:b/>
                <w:sz w:val="24"/>
              </w:rPr>
            </w:pPr>
            <w:r>
              <w:rPr>
                <w:rFonts w:hint="eastAsia" w:ascii="宋体" w:hAnsi="宋体" w:cs="Times New Roman"/>
                <w:b/>
                <w:sz w:val="24"/>
              </w:rPr>
              <w:t>教师数</w:t>
            </w:r>
          </w:p>
        </w:tc>
        <w:tc>
          <w:tcPr>
            <w:tcW w:w="2068" w:type="dxa"/>
            <w:gridSpan w:val="2"/>
            <w:vAlign w:val="center"/>
          </w:tcPr>
          <w:p>
            <w:pPr>
              <w:ind w:firstLine="354" w:firstLineChars="147"/>
              <w:jc w:val="center"/>
              <w:rPr>
                <w:rFonts w:ascii="宋体" w:hAnsi="宋体" w:cs="Times New Roman"/>
                <w:b/>
                <w:sz w:val="24"/>
              </w:rPr>
            </w:pPr>
            <w:r>
              <w:rPr>
                <w:rFonts w:hint="eastAsia" w:ascii="宋体" w:hAnsi="宋体" w:cs="Times New Roman"/>
                <w:b/>
                <w:sz w:val="24"/>
              </w:rPr>
              <w:t>35周岁</w:t>
            </w:r>
            <w:r>
              <w:rPr>
                <w:rFonts w:ascii="宋体" w:hAnsi="宋体" w:cs="Times New Roman"/>
                <w:b/>
                <w:sz w:val="24"/>
              </w:rPr>
              <w:t>以下</w:t>
            </w:r>
          </w:p>
        </w:tc>
        <w:tc>
          <w:tcPr>
            <w:tcW w:w="2069" w:type="dxa"/>
            <w:gridSpan w:val="2"/>
            <w:vAlign w:val="center"/>
          </w:tcPr>
          <w:p>
            <w:pPr>
              <w:jc w:val="center"/>
              <w:rPr>
                <w:rFonts w:ascii="宋体" w:hAnsi="宋体" w:cs="Times New Roman"/>
                <w:b/>
                <w:sz w:val="24"/>
              </w:rPr>
            </w:pPr>
            <w:r>
              <w:rPr>
                <w:rFonts w:hint="eastAsia" w:ascii="宋体" w:hAnsi="宋体" w:cs="Times New Roman"/>
                <w:b/>
                <w:sz w:val="24"/>
              </w:rPr>
              <w:t>36</w:t>
            </w:r>
            <w:r>
              <w:rPr>
                <w:rFonts w:ascii="宋体" w:hAnsi="宋体" w:cs="Times New Roman"/>
                <w:b/>
                <w:sz w:val="24"/>
              </w:rPr>
              <w:t>-</w:t>
            </w:r>
            <w:r>
              <w:rPr>
                <w:rFonts w:hint="eastAsia" w:ascii="宋体" w:hAnsi="宋体" w:cs="Times New Roman"/>
                <w:b/>
                <w:sz w:val="24"/>
              </w:rPr>
              <w:t>4</w:t>
            </w:r>
            <w:r>
              <w:rPr>
                <w:rFonts w:ascii="宋体" w:hAnsi="宋体" w:cs="Times New Roman"/>
                <w:b/>
                <w:sz w:val="24"/>
              </w:rPr>
              <w:t>5</w:t>
            </w:r>
            <w:r>
              <w:rPr>
                <w:rFonts w:hint="eastAsia" w:ascii="宋体" w:hAnsi="宋体" w:cs="Times New Roman"/>
                <w:b/>
                <w:sz w:val="24"/>
              </w:rPr>
              <w:t>岁</w:t>
            </w:r>
          </w:p>
        </w:tc>
        <w:tc>
          <w:tcPr>
            <w:tcW w:w="2068" w:type="dxa"/>
            <w:gridSpan w:val="2"/>
            <w:vAlign w:val="center"/>
          </w:tcPr>
          <w:p>
            <w:pPr>
              <w:rPr>
                <w:rFonts w:ascii="宋体" w:hAnsi="宋体" w:cs="Times New Roman"/>
                <w:b/>
                <w:sz w:val="24"/>
              </w:rPr>
            </w:pPr>
            <w:r>
              <w:rPr>
                <w:rFonts w:hint="eastAsia" w:ascii="宋体" w:hAnsi="宋体" w:cs="Times New Roman"/>
                <w:b/>
                <w:sz w:val="24"/>
              </w:rPr>
              <w:t>46-55岁以上</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Ex>
        <w:trPr>
          <w:trHeight w:val="496" w:hRule="atLeast"/>
        </w:trPr>
        <w:tc>
          <w:tcPr>
            <w:tcW w:w="1297" w:type="dxa"/>
            <w:vMerge w:val="continue"/>
            <w:vAlign w:val="center"/>
          </w:tcPr>
          <w:p>
            <w:pPr>
              <w:jc w:val="center"/>
              <w:rPr>
                <w:rFonts w:ascii="宋体" w:hAnsi="宋体" w:cs="Times New Roman"/>
                <w:sz w:val="24"/>
              </w:rPr>
            </w:pPr>
          </w:p>
        </w:tc>
        <w:tc>
          <w:tcPr>
            <w:tcW w:w="1034" w:type="dxa"/>
            <w:vMerge w:val="continue"/>
            <w:vAlign w:val="center"/>
          </w:tcPr>
          <w:p>
            <w:pPr>
              <w:jc w:val="center"/>
              <w:rPr>
                <w:rFonts w:ascii="宋体" w:hAnsi="宋体" w:cs="Times New Roman"/>
                <w:sz w:val="24"/>
              </w:rPr>
            </w:pPr>
          </w:p>
        </w:tc>
        <w:tc>
          <w:tcPr>
            <w:tcW w:w="790" w:type="dxa"/>
            <w:vAlign w:val="center"/>
          </w:tcPr>
          <w:p>
            <w:pPr>
              <w:jc w:val="center"/>
              <w:rPr>
                <w:rFonts w:ascii="宋体" w:hAnsi="宋体" w:cs="Times New Roman"/>
                <w:sz w:val="24"/>
              </w:rPr>
            </w:pPr>
            <w:r>
              <w:rPr>
                <w:rFonts w:hint="eastAsia" w:ascii="宋体" w:hAnsi="宋体" w:cs="Times New Roman"/>
                <w:b/>
                <w:sz w:val="24"/>
              </w:rPr>
              <w:t>人数</w:t>
            </w:r>
          </w:p>
        </w:tc>
        <w:tc>
          <w:tcPr>
            <w:tcW w:w="1278" w:type="dxa"/>
            <w:vAlign w:val="center"/>
          </w:tcPr>
          <w:p>
            <w:pPr>
              <w:jc w:val="center"/>
              <w:rPr>
                <w:rFonts w:ascii="宋体" w:hAnsi="宋体" w:cs="Times New Roman"/>
                <w:sz w:val="24"/>
              </w:rPr>
            </w:pPr>
            <w:r>
              <w:rPr>
                <w:rFonts w:hint="eastAsia" w:ascii="宋体" w:hAnsi="宋体" w:cs="Times New Roman"/>
                <w:b/>
                <w:sz w:val="24"/>
              </w:rPr>
              <w:t>比例(％)</w:t>
            </w:r>
          </w:p>
        </w:tc>
        <w:tc>
          <w:tcPr>
            <w:tcW w:w="786" w:type="dxa"/>
            <w:vAlign w:val="center"/>
          </w:tcPr>
          <w:p>
            <w:pPr>
              <w:jc w:val="center"/>
              <w:rPr>
                <w:rFonts w:ascii="宋体" w:hAnsi="宋体" w:cs="Times New Roman"/>
                <w:sz w:val="24"/>
              </w:rPr>
            </w:pPr>
            <w:r>
              <w:rPr>
                <w:rFonts w:hint="eastAsia" w:ascii="宋体" w:hAnsi="宋体" w:cs="Times New Roman"/>
                <w:b/>
                <w:sz w:val="24"/>
              </w:rPr>
              <w:t>人数</w:t>
            </w:r>
          </w:p>
        </w:tc>
        <w:tc>
          <w:tcPr>
            <w:tcW w:w="1283" w:type="dxa"/>
            <w:vAlign w:val="center"/>
          </w:tcPr>
          <w:p>
            <w:pPr>
              <w:snapToGrid w:val="0"/>
              <w:jc w:val="center"/>
              <w:rPr>
                <w:rFonts w:ascii="宋体" w:hAnsi="宋体" w:cs="Times New Roman"/>
                <w:b/>
                <w:sz w:val="24"/>
              </w:rPr>
            </w:pPr>
            <w:r>
              <w:rPr>
                <w:rFonts w:hint="eastAsia" w:ascii="宋体" w:hAnsi="宋体" w:cs="Times New Roman"/>
                <w:b/>
                <w:sz w:val="24"/>
              </w:rPr>
              <w:t>比例(％)</w:t>
            </w:r>
          </w:p>
        </w:tc>
        <w:tc>
          <w:tcPr>
            <w:tcW w:w="780" w:type="dxa"/>
            <w:vAlign w:val="center"/>
          </w:tcPr>
          <w:p>
            <w:pPr>
              <w:jc w:val="center"/>
              <w:rPr>
                <w:rFonts w:ascii="宋体" w:hAnsi="宋体" w:cs="Times New Roman"/>
                <w:b/>
                <w:sz w:val="24"/>
              </w:rPr>
            </w:pPr>
            <w:r>
              <w:rPr>
                <w:rFonts w:hint="eastAsia" w:ascii="宋体" w:hAnsi="宋体" w:cs="Times New Roman"/>
                <w:b/>
                <w:sz w:val="24"/>
              </w:rPr>
              <w:t>人数</w:t>
            </w:r>
          </w:p>
        </w:tc>
        <w:tc>
          <w:tcPr>
            <w:tcW w:w="1288" w:type="dxa"/>
            <w:vAlign w:val="center"/>
          </w:tcPr>
          <w:p>
            <w:pPr>
              <w:snapToGrid w:val="0"/>
              <w:jc w:val="center"/>
              <w:rPr>
                <w:rFonts w:ascii="宋体" w:hAnsi="宋体" w:cs="Times New Roman"/>
                <w:b/>
                <w:sz w:val="24"/>
              </w:rPr>
            </w:pPr>
            <w:r>
              <w:rPr>
                <w:rFonts w:hint="eastAsia" w:ascii="宋体" w:hAnsi="宋体" w:cs="Times New Roman"/>
                <w:b/>
                <w:sz w:val="24"/>
              </w:rPr>
              <w:t>比例(％)</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Ex>
        <w:trPr>
          <w:trHeight w:val="446" w:hRule="atLeast"/>
        </w:trPr>
        <w:tc>
          <w:tcPr>
            <w:tcW w:w="1297" w:type="dxa"/>
            <w:vAlign w:val="center"/>
          </w:tcPr>
          <w:p>
            <w:pPr>
              <w:jc w:val="center"/>
              <w:rPr>
                <w:rFonts w:hint="eastAsia" w:ascii="宋体" w:hAnsi="宋体" w:eastAsia="宋体"/>
                <w:sz w:val="24"/>
                <w:lang w:val="en-US" w:eastAsia="zh-CN"/>
              </w:rPr>
            </w:pPr>
            <w:r>
              <w:rPr>
                <w:rFonts w:hint="eastAsia" w:ascii="宋体" w:hAnsi="宋体"/>
                <w:sz w:val="24"/>
              </w:rPr>
              <w:t>201</w:t>
            </w:r>
            <w:r>
              <w:rPr>
                <w:rFonts w:hint="eastAsia" w:ascii="宋体" w:hAnsi="宋体"/>
                <w:sz w:val="24"/>
                <w:lang w:val="en-US" w:eastAsia="zh-CN"/>
              </w:rPr>
              <w:t>7-2018</w:t>
            </w:r>
          </w:p>
        </w:tc>
        <w:tc>
          <w:tcPr>
            <w:tcW w:w="1034"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40</w:t>
            </w:r>
          </w:p>
        </w:tc>
        <w:tc>
          <w:tcPr>
            <w:tcW w:w="790"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38</w:t>
            </w:r>
          </w:p>
        </w:tc>
        <w:tc>
          <w:tcPr>
            <w:tcW w:w="1278"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95</w:t>
            </w:r>
          </w:p>
        </w:tc>
        <w:tc>
          <w:tcPr>
            <w:tcW w:w="786"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0</w:t>
            </w:r>
          </w:p>
        </w:tc>
        <w:tc>
          <w:tcPr>
            <w:tcW w:w="1283"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0</w:t>
            </w:r>
          </w:p>
        </w:tc>
        <w:tc>
          <w:tcPr>
            <w:tcW w:w="780" w:type="dxa"/>
            <w:vAlign w:val="center"/>
          </w:tcPr>
          <w:p>
            <w:pPr>
              <w:jc w:val="center"/>
              <w:rPr>
                <w:rFonts w:ascii="宋体" w:hAnsi="宋体"/>
                <w:sz w:val="24"/>
              </w:rPr>
            </w:pPr>
            <w:r>
              <w:rPr>
                <w:rFonts w:hint="eastAsia" w:ascii="宋体" w:hAnsi="宋体"/>
                <w:sz w:val="24"/>
              </w:rPr>
              <w:t>2</w:t>
            </w:r>
          </w:p>
        </w:tc>
        <w:tc>
          <w:tcPr>
            <w:tcW w:w="1288"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5</w:t>
            </w:r>
          </w:p>
        </w:tc>
      </w:tr>
    </w:tbl>
    <w:p>
      <w:pPr>
        <w:ind w:firstLine="480" w:firstLineChars="200"/>
        <w:jc w:val="center"/>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b w:val="0"/>
          <w:bCs/>
          <w:kern w:val="0"/>
          <w:sz w:val="24"/>
        </w:rPr>
      </w:pPr>
      <w:r>
        <w:rPr>
          <w:rFonts w:hint="eastAsia" w:ascii="黑体" w:hAnsi="黑体" w:eastAsia="黑体" w:cs="黑体"/>
          <w:b w:val="0"/>
          <w:bCs/>
          <w:kern w:val="0"/>
          <w:sz w:val="24"/>
        </w:rPr>
        <w:t>2、生师比</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宋体" w:hAnsi="宋体" w:cs="Segoe UI"/>
          <w:kern w:val="0"/>
          <w:sz w:val="24"/>
        </w:rPr>
      </w:pPr>
      <w:r>
        <w:rPr>
          <w:rFonts w:hint="eastAsia" w:ascii="宋体" w:hAnsi="宋体" w:cs="Segoe UI"/>
          <w:kern w:val="0"/>
          <w:sz w:val="24"/>
        </w:rPr>
        <w:t>学</w:t>
      </w:r>
      <w:r>
        <w:rPr>
          <w:rFonts w:hint="eastAsia" w:ascii="宋体" w:hAnsi="宋体" w:cs="Segoe UI"/>
          <w:kern w:val="0"/>
          <w:sz w:val="24"/>
          <w:lang w:val="en-US" w:eastAsia="zh-CN"/>
        </w:rPr>
        <w:t>院</w:t>
      </w:r>
      <w:r>
        <w:rPr>
          <w:rFonts w:hint="eastAsia" w:ascii="宋体" w:hAnsi="宋体" w:cs="Segoe UI"/>
          <w:kern w:val="0"/>
          <w:sz w:val="24"/>
        </w:rPr>
        <w:t>现有专任教师</w:t>
      </w:r>
      <w:r>
        <w:rPr>
          <w:rFonts w:hint="eastAsia" w:ascii="宋体" w:hAnsi="宋体" w:cs="Segoe UI"/>
          <w:kern w:val="0"/>
          <w:sz w:val="24"/>
          <w:lang w:val="en-US" w:eastAsia="zh-CN"/>
        </w:rPr>
        <w:t>40</w:t>
      </w:r>
      <w:r>
        <w:rPr>
          <w:rFonts w:hint="eastAsia" w:ascii="宋体" w:hAnsi="宋体" w:cs="Segoe UI"/>
          <w:kern w:val="0"/>
          <w:sz w:val="24"/>
        </w:rPr>
        <w:t>人，外聘教师</w:t>
      </w:r>
      <w:r>
        <w:rPr>
          <w:rFonts w:hint="eastAsia" w:ascii="宋体" w:hAnsi="宋体" w:cs="Segoe UI"/>
          <w:kern w:val="0"/>
          <w:sz w:val="24"/>
          <w:lang w:val="en-US" w:eastAsia="zh-CN"/>
        </w:rPr>
        <w:t>1077</w:t>
      </w:r>
      <w:r>
        <w:rPr>
          <w:rFonts w:hint="eastAsia" w:ascii="宋体" w:hAnsi="宋体" w:cs="Segoe UI"/>
          <w:kern w:val="0"/>
          <w:sz w:val="24"/>
        </w:rPr>
        <w:t>人，生师比</w:t>
      </w:r>
      <w:r>
        <w:rPr>
          <w:rFonts w:hint="eastAsia" w:ascii="宋体" w:hAnsi="宋体" w:cs="Segoe UI"/>
          <w:kern w:val="0"/>
          <w:sz w:val="24"/>
          <w:lang w:val="en-US" w:eastAsia="zh-CN"/>
        </w:rPr>
        <w:t>6.95</w:t>
      </w:r>
      <w:r>
        <w:rPr>
          <w:rFonts w:ascii="宋体" w:hAnsi="宋体" w:cs="Segoe UI"/>
          <w:kern w:val="0"/>
          <w:sz w:val="24"/>
        </w:rPr>
        <w:t>:1</w:t>
      </w:r>
      <w:r>
        <w:rPr>
          <w:rFonts w:hint="eastAsia" w:ascii="宋体" w:hAnsi="宋体" w:cs="Segoe UI"/>
          <w:kern w:val="0"/>
          <w:sz w:val="24"/>
        </w:rPr>
        <w:t>。（见表</w:t>
      </w:r>
      <w:r>
        <w:rPr>
          <w:rFonts w:hint="eastAsia" w:ascii="宋体" w:hAnsi="宋体" w:cs="Segoe UI"/>
          <w:kern w:val="0"/>
          <w:sz w:val="24"/>
          <w:lang w:val="en-US" w:eastAsia="zh-CN"/>
        </w:rPr>
        <w:t>5</w:t>
      </w:r>
      <w:r>
        <w:rPr>
          <w:rFonts w:hint="eastAsia" w:ascii="宋体" w:hAnsi="宋体" w:cs="Segoe UI"/>
          <w:kern w:val="0"/>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outlineLvl w:val="9"/>
        <w:rPr>
          <w:rFonts w:ascii="宋体" w:hAnsi="宋体"/>
          <w:sz w:val="24"/>
        </w:rPr>
      </w:pPr>
    </w:p>
    <w:p>
      <w:pPr>
        <w:ind w:firstLine="480" w:firstLineChars="200"/>
        <w:jc w:val="center"/>
        <w:rPr>
          <w:rFonts w:ascii="宋体" w:hAnsi="宋体"/>
          <w:sz w:val="24"/>
        </w:rPr>
      </w:pPr>
      <w:r>
        <w:rPr>
          <w:rFonts w:hint="eastAsia" w:ascii="宋体" w:hAnsi="宋体"/>
          <w:sz w:val="24"/>
        </w:rPr>
        <w:t>表</w:t>
      </w:r>
      <w:r>
        <w:rPr>
          <w:rFonts w:hint="eastAsia" w:ascii="宋体" w:hAnsi="宋体"/>
          <w:sz w:val="24"/>
          <w:lang w:val="en-US" w:eastAsia="zh-CN"/>
        </w:rPr>
        <w:t>5</w:t>
      </w:r>
      <w:r>
        <w:rPr>
          <w:rFonts w:hint="eastAsia" w:ascii="宋体" w:hAnsi="宋体"/>
          <w:sz w:val="24"/>
        </w:rPr>
        <w:t>：遵义医学院</w:t>
      </w:r>
      <w:r>
        <w:rPr>
          <w:rFonts w:hint="eastAsia" w:ascii="宋体" w:hAnsi="宋体"/>
          <w:sz w:val="24"/>
          <w:lang w:val="en-US" w:eastAsia="zh-CN"/>
        </w:rPr>
        <w:t>医学与科技学院</w:t>
      </w:r>
      <w:r>
        <w:rPr>
          <w:rFonts w:hint="eastAsia" w:ascii="宋体" w:hAnsi="宋体"/>
          <w:sz w:val="24"/>
        </w:rPr>
        <w:t>生师比统计一览表</w:t>
      </w:r>
    </w:p>
    <w:tbl>
      <w:tblPr>
        <w:tblStyle w:val="11"/>
        <w:tblW w:w="8790" w:type="dxa"/>
        <w:jc w:val="center"/>
        <w:tblInd w:w="0" w:type="dxa"/>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1296"/>
        <w:gridCol w:w="1056"/>
        <w:gridCol w:w="1134"/>
        <w:gridCol w:w="1615"/>
        <w:gridCol w:w="1042"/>
        <w:gridCol w:w="1537"/>
        <w:gridCol w:w="1110"/>
      </w:tblGrid>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Ex>
        <w:trPr>
          <w:trHeight w:val="462" w:hRule="atLeast"/>
          <w:jc w:val="center"/>
        </w:trPr>
        <w:tc>
          <w:tcPr>
            <w:tcW w:w="1296" w:type="dxa"/>
            <w:vMerge w:val="restart"/>
            <w:vAlign w:val="center"/>
          </w:tcPr>
          <w:p>
            <w:pPr>
              <w:jc w:val="center"/>
              <w:rPr>
                <w:rFonts w:ascii="宋体" w:hAnsi="宋体"/>
                <w:b/>
                <w:sz w:val="24"/>
              </w:rPr>
            </w:pPr>
            <w:r>
              <w:rPr>
                <w:rFonts w:hint="eastAsia" w:ascii="宋体" w:hAnsi="宋体"/>
                <w:b/>
                <w:sz w:val="24"/>
              </w:rPr>
              <w:t>年度</w:t>
            </w:r>
          </w:p>
        </w:tc>
        <w:tc>
          <w:tcPr>
            <w:tcW w:w="1056" w:type="dxa"/>
            <w:vMerge w:val="restart"/>
            <w:vAlign w:val="center"/>
          </w:tcPr>
          <w:p>
            <w:pPr>
              <w:snapToGrid w:val="0"/>
              <w:ind w:left="-71" w:leftChars="-34" w:right="-103" w:rightChars="-49"/>
              <w:jc w:val="center"/>
              <w:rPr>
                <w:rFonts w:ascii="宋体" w:hAnsi="宋体" w:cs="Times New Roman"/>
                <w:b/>
                <w:sz w:val="24"/>
              </w:rPr>
            </w:pPr>
            <w:r>
              <w:rPr>
                <w:rFonts w:hint="eastAsia" w:ascii="宋体" w:hAnsi="宋体"/>
                <w:b/>
                <w:sz w:val="24"/>
              </w:rPr>
              <w:t>学生</w:t>
            </w:r>
          </w:p>
          <w:p>
            <w:pPr>
              <w:snapToGrid w:val="0"/>
              <w:ind w:left="-71" w:leftChars="-34" w:right="-103" w:rightChars="-49"/>
              <w:jc w:val="center"/>
              <w:rPr>
                <w:rFonts w:ascii="宋体" w:hAnsi="宋体"/>
                <w:b/>
                <w:sz w:val="24"/>
              </w:rPr>
            </w:pPr>
            <w:r>
              <w:rPr>
                <w:rFonts w:hint="eastAsia" w:ascii="宋体" w:hAnsi="宋体"/>
                <w:b/>
                <w:sz w:val="24"/>
              </w:rPr>
              <w:t>折合数</w:t>
            </w:r>
          </w:p>
        </w:tc>
        <w:tc>
          <w:tcPr>
            <w:tcW w:w="5328" w:type="dxa"/>
            <w:gridSpan w:val="4"/>
            <w:vAlign w:val="center"/>
          </w:tcPr>
          <w:p>
            <w:pPr>
              <w:jc w:val="center"/>
              <w:rPr>
                <w:rFonts w:ascii="宋体" w:hAnsi="宋体"/>
                <w:b/>
                <w:sz w:val="24"/>
              </w:rPr>
            </w:pPr>
            <w:r>
              <w:rPr>
                <w:rFonts w:hint="eastAsia" w:ascii="宋体" w:hAnsi="宋体"/>
                <w:b/>
                <w:sz w:val="24"/>
              </w:rPr>
              <w:t>教师数</w:t>
            </w:r>
          </w:p>
        </w:tc>
        <w:tc>
          <w:tcPr>
            <w:tcW w:w="1110" w:type="dxa"/>
            <w:vAlign w:val="center"/>
          </w:tcPr>
          <w:p>
            <w:pPr>
              <w:jc w:val="center"/>
              <w:rPr>
                <w:rFonts w:ascii="宋体" w:hAnsi="宋体"/>
                <w:b/>
                <w:sz w:val="24"/>
              </w:rPr>
            </w:pPr>
            <w:r>
              <w:rPr>
                <w:rFonts w:hint="eastAsia" w:ascii="宋体" w:hAnsi="宋体"/>
                <w:b/>
                <w:sz w:val="24"/>
              </w:rPr>
              <w:t>生师比</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Ex>
        <w:trPr>
          <w:trHeight w:val="439" w:hRule="atLeast"/>
          <w:jc w:val="center"/>
        </w:trPr>
        <w:tc>
          <w:tcPr>
            <w:tcW w:w="1296" w:type="dxa"/>
            <w:vMerge w:val="continue"/>
            <w:vAlign w:val="top"/>
          </w:tcPr>
          <w:p>
            <w:pPr>
              <w:autoSpaceDE w:val="0"/>
              <w:autoSpaceDN w:val="0"/>
              <w:adjustRightInd w:val="0"/>
              <w:jc w:val="center"/>
              <w:rPr>
                <w:rFonts w:ascii="宋体" w:hAnsi="宋体" w:cs="Times New Roman"/>
                <w:sz w:val="24"/>
              </w:rPr>
            </w:pPr>
          </w:p>
        </w:tc>
        <w:tc>
          <w:tcPr>
            <w:tcW w:w="1056" w:type="dxa"/>
            <w:vMerge w:val="continue"/>
            <w:vAlign w:val="top"/>
          </w:tcPr>
          <w:p>
            <w:pPr>
              <w:autoSpaceDE w:val="0"/>
              <w:autoSpaceDN w:val="0"/>
              <w:adjustRightInd w:val="0"/>
              <w:jc w:val="center"/>
              <w:rPr>
                <w:rFonts w:ascii="宋体" w:hAnsi="宋体" w:cs="Times New Roman"/>
                <w:sz w:val="24"/>
              </w:rPr>
            </w:pPr>
          </w:p>
        </w:tc>
        <w:tc>
          <w:tcPr>
            <w:tcW w:w="1134" w:type="dxa"/>
            <w:vAlign w:val="center"/>
          </w:tcPr>
          <w:p>
            <w:pPr>
              <w:snapToGrid w:val="0"/>
              <w:jc w:val="center"/>
              <w:rPr>
                <w:rFonts w:ascii="宋体" w:hAnsi="宋体"/>
                <w:b/>
                <w:sz w:val="24"/>
              </w:rPr>
            </w:pPr>
            <w:r>
              <w:rPr>
                <w:rFonts w:hint="eastAsia" w:ascii="宋体" w:hAnsi="宋体"/>
                <w:b/>
                <w:sz w:val="24"/>
              </w:rPr>
              <w:t>专任教师数</w:t>
            </w:r>
          </w:p>
        </w:tc>
        <w:tc>
          <w:tcPr>
            <w:tcW w:w="1615" w:type="dxa"/>
            <w:vAlign w:val="center"/>
          </w:tcPr>
          <w:p>
            <w:pPr>
              <w:snapToGrid w:val="0"/>
              <w:jc w:val="center"/>
              <w:rPr>
                <w:rFonts w:hint="eastAsia" w:ascii="宋体" w:hAnsi="宋体" w:eastAsia="宋体"/>
                <w:b/>
                <w:sz w:val="24"/>
                <w:lang w:val="en-US" w:eastAsia="zh-CN"/>
              </w:rPr>
            </w:pPr>
            <w:r>
              <w:rPr>
                <w:rFonts w:hint="eastAsia" w:ascii="宋体" w:hAnsi="宋体"/>
                <w:b/>
                <w:sz w:val="24"/>
                <w:lang w:val="en-US" w:eastAsia="zh-CN"/>
              </w:rPr>
              <w:t>其他教师数</w:t>
            </w:r>
          </w:p>
        </w:tc>
        <w:tc>
          <w:tcPr>
            <w:tcW w:w="1042" w:type="dxa"/>
            <w:vAlign w:val="center"/>
          </w:tcPr>
          <w:p>
            <w:pPr>
              <w:snapToGrid w:val="0"/>
              <w:jc w:val="center"/>
              <w:rPr>
                <w:rFonts w:ascii="宋体" w:hAnsi="宋体"/>
                <w:b/>
                <w:sz w:val="24"/>
              </w:rPr>
            </w:pPr>
            <w:r>
              <w:rPr>
                <w:rFonts w:hint="eastAsia" w:ascii="宋体" w:hAnsi="宋体"/>
                <w:b/>
                <w:sz w:val="24"/>
              </w:rPr>
              <w:t>外聘教师数</w:t>
            </w:r>
          </w:p>
        </w:tc>
        <w:tc>
          <w:tcPr>
            <w:tcW w:w="1537" w:type="dxa"/>
            <w:vAlign w:val="center"/>
          </w:tcPr>
          <w:p>
            <w:pPr>
              <w:snapToGrid w:val="0"/>
              <w:jc w:val="center"/>
              <w:rPr>
                <w:rFonts w:ascii="宋体" w:hAnsi="宋体"/>
                <w:b/>
                <w:sz w:val="24"/>
              </w:rPr>
            </w:pPr>
            <w:r>
              <w:rPr>
                <w:rFonts w:hint="eastAsia" w:ascii="宋体" w:hAnsi="宋体"/>
                <w:b/>
                <w:sz w:val="24"/>
              </w:rPr>
              <w:t>共有</w:t>
            </w:r>
          </w:p>
          <w:p>
            <w:pPr>
              <w:snapToGrid w:val="0"/>
              <w:jc w:val="center"/>
              <w:rPr>
                <w:rFonts w:ascii="宋体" w:hAnsi="宋体"/>
                <w:b/>
                <w:sz w:val="24"/>
              </w:rPr>
            </w:pPr>
            <w:r>
              <w:rPr>
                <w:rFonts w:hint="eastAsia" w:ascii="宋体" w:hAnsi="宋体"/>
                <w:b/>
                <w:sz w:val="24"/>
              </w:rPr>
              <w:t>师资</w:t>
            </w:r>
          </w:p>
        </w:tc>
        <w:tc>
          <w:tcPr>
            <w:tcW w:w="1110" w:type="dxa"/>
            <w:vAlign w:val="center"/>
          </w:tcPr>
          <w:p>
            <w:pPr>
              <w:snapToGrid w:val="0"/>
              <w:jc w:val="center"/>
              <w:rPr>
                <w:rFonts w:ascii="宋体" w:hAnsi="宋体"/>
                <w:b/>
                <w:sz w:val="24"/>
              </w:rPr>
            </w:pPr>
            <w:r>
              <w:rPr>
                <w:rFonts w:hint="eastAsia" w:ascii="宋体" w:hAnsi="宋体"/>
                <w:b/>
                <w:sz w:val="24"/>
              </w:rPr>
              <w:t>专任教师数</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Ex>
        <w:trPr>
          <w:trHeight w:val="426" w:hRule="atLeast"/>
          <w:jc w:val="center"/>
        </w:trPr>
        <w:tc>
          <w:tcPr>
            <w:tcW w:w="1296" w:type="dxa"/>
            <w:vAlign w:val="center"/>
          </w:tcPr>
          <w:p>
            <w:pPr>
              <w:jc w:val="center"/>
              <w:rPr>
                <w:rFonts w:hint="eastAsia" w:ascii="宋体" w:hAnsi="宋体" w:eastAsia="宋体"/>
                <w:sz w:val="24"/>
                <w:lang w:val="en-US" w:eastAsia="zh-CN"/>
              </w:rPr>
            </w:pPr>
            <w:r>
              <w:rPr>
                <w:rFonts w:hint="eastAsia" w:ascii="宋体" w:hAnsi="宋体"/>
                <w:sz w:val="24"/>
              </w:rPr>
              <w:t>2</w:t>
            </w:r>
            <w:r>
              <w:rPr>
                <w:rFonts w:hint="eastAsia" w:ascii="宋体" w:hAnsi="宋体"/>
                <w:sz w:val="24"/>
                <w:lang w:val="en-US" w:eastAsia="zh-CN"/>
              </w:rPr>
              <w:t>017-2018</w:t>
            </w:r>
          </w:p>
        </w:tc>
        <w:tc>
          <w:tcPr>
            <w:tcW w:w="1056"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7925</w:t>
            </w:r>
          </w:p>
        </w:tc>
        <w:tc>
          <w:tcPr>
            <w:tcW w:w="1134"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40</w:t>
            </w:r>
          </w:p>
        </w:tc>
        <w:tc>
          <w:tcPr>
            <w:tcW w:w="1615"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63</w:t>
            </w:r>
          </w:p>
        </w:tc>
        <w:tc>
          <w:tcPr>
            <w:tcW w:w="1042" w:type="dxa"/>
            <w:vAlign w:val="center"/>
          </w:tcPr>
          <w:p>
            <w:pPr>
              <w:jc w:val="center"/>
              <w:rPr>
                <w:rFonts w:hint="eastAsia" w:ascii="宋体" w:hAnsi="宋体" w:eastAsia="宋体"/>
                <w:sz w:val="24"/>
                <w:lang w:val="en-US" w:eastAsia="zh-CN"/>
              </w:rPr>
            </w:pPr>
            <w:r>
              <w:rPr>
                <w:rFonts w:hint="eastAsia" w:ascii="宋体" w:hAnsi="宋体"/>
                <w:sz w:val="24"/>
              </w:rPr>
              <w:t>103</w:t>
            </w:r>
            <w:r>
              <w:rPr>
                <w:rFonts w:hint="eastAsia" w:ascii="宋体" w:hAnsi="宋体"/>
                <w:sz w:val="24"/>
                <w:lang w:val="en-US" w:eastAsia="zh-CN"/>
              </w:rPr>
              <w:t>7</w:t>
            </w:r>
          </w:p>
        </w:tc>
        <w:tc>
          <w:tcPr>
            <w:tcW w:w="1537" w:type="dxa"/>
            <w:vAlign w:val="center"/>
          </w:tcPr>
          <w:p>
            <w:pPr>
              <w:jc w:val="center"/>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140</w:t>
            </w:r>
          </w:p>
        </w:tc>
        <w:tc>
          <w:tcPr>
            <w:tcW w:w="1110" w:type="dxa"/>
            <w:vAlign w:val="center"/>
          </w:tcPr>
          <w:p>
            <w:pPr>
              <w:jc w:val="center"/>
              <w:rPr>
                <w:rFonts w:ascii="宋体" w:hAnsi="宋体"/>
                <w:sz w:val="24"/>
              </w:rPr>
            </w:pPr>
            <w:r>
              <w:rPr>
                <w:rFonts w:hint="eastAsia" w:ascii="宋体" w:hAnsi="宋体"/>
                <w:sz w:val="24"/>
                <w:lang w:val="en-US" w:eastAsia="zh-CN"/>
              </w:rPr>
              <w:t>6.95</w:t>
            </w:r>
            <w:r>
              <w:rPr>
                <w:rFonts w:ascii="宋体" w:hAnsi="宋体"/>
                <w:sz w:val="24"/>
              </w:rPr>
              <w:t>:1</w:t>
            </w:r>
          </w:p>
        </w:tc>
      </w:tr>
    </w:tbl>
    <w:p>
      <w:pPr>
        <w:autoSpaceDE w:val="0"/>
        <w:autoSpaceDN w:val="0"/>
        <w:adjustRightInd w:val="0"/>
        <w:jc w:val="center"/>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b w:val="0"/>
          <w:bCs/>
          <w:kern w:val="0"/>
          <w:sz w:val="24"/>
        </w:rPr>
      </w:pPr>
      <w:r>
        <w:rPr>
          <w:rFonts w:hint="eastAsia" w:ascii="黑体" w:hAnsi="黑体" w:eastAsia="黑体" w:cs="黑体"/>
          <w:b w:val="0"/>
          <w:bCs/>
          <w:kern w:val="0"/>
          <w:sz w:val="24"/>
        </w:rPr>
        <w:t>3、师资队伍建设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Segoe UI"/>
          <w:b w:val="0"/>
          <w:bCs/>
          <w:kern w:val="0"/>
          <w:sz w:val="24"/>
        </w:rPr>
      </w:pPr>
      <w:r>
        <w:rPr>
          <w:rFonts w:hint="eastAsia" w:ascii="宋体" w:hAnsi="宋体" w:cs="Segoe UI"/>
          <w:b w:val="0"/>
          <w:bCs/>
          <w:kern w:val="0"/>
          <w:sz w:val="24"/>
        </w:rPr>
        <w:t>未来三年，将持续推进“人才兴院”战略，不断加大对师资队伍建设的投入。据估算，学院2021年在校学生人数约10000人，按照医学类院校独立办学评估的生师比要求按16：1来估算，学院需专任教师625名教师，其中自有教师469名，外聘教师312名（外聘教师按照2:1折算专任教师，总量不超过专任教师的四分之一），要求具有副高级以上职称人数占30%以上，达到188人。开设专业均具备学科带头人， 严把质量关，加强人才储备力度，使学院师资队伍职称结构、学历结构、年龄结构、学缘结构等更趋合理。充分利用上级部门对民办教育的政策、资金支持用于师资队伍建设。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Segoe UI"/>
          <w:b w:val="0"/>
          <w:bCs/>
          <w:kern w:val="0"/>
          <w:sz w:val="24"/>
        </w:rPr>
      </w:pPr>
      <w:r>
        <w:rPr>
          <w:rFonts w:hint="eastAsia" w:ascii="宋体" w:hAnsi="宋体" w:cs="Segoe UI"/>
          <w:b w:val="0"/>
          <w:bCs/>
          <w:kern w:val="0"/>
          <w:sz w:val="24"/>
        </w:rPr>
        <w:t>学院认真贯彻落实教育部《高等学校教师职业道德规范》，切实加强师德师风建设，提升教师素质，打造一支师德好、作风硬、水平高、能力强、结构合理的教师队伍、管理人员队伍、实验技术人才队伍。</w:t>
      </w:r>
    </w:p>
    <w:p>
      <w:pPr>
        <w:ind w:firstLine="480" w:firstLineChars="200"/>
        <w:rPr>
          <w:rFonts w:ascii="宋体" w:hAnsi="宋体" w:cs="Segoe UI"/>
          <w:kern w:val="0"/>
          <w:sz w:val="24"/>
        </w:rPr>
      </w:pPr>
    </w:p>
    <w:p>
      <w:pPr>
        <w:rPr>
          <w:rFonts w:hint="eastAsia" w:ascii="黑体" w:hAnsi="黑体" w:eastAsia="黑体" w:cs="黑体"/>
          <w:b w:val="0"/>
          <w:bCs/>
          <w:kern w:val="0"/>
          <w:sz w:val="28"/>
          <w:szCs w:val="28"/>
        </w:rPr>
      </w:pPr>
      <w:r>
        <w:rPr>
          <w:rFonts w:hint="eastAsia" w:ascii="黑体" w:hAnsi="黑体" w:eastAsia="黑体" w:cs="黑体"/>
          <w:b w:val="0"/>
          <w:bCs/>
          <w:kern w:val="0"/>
          <w:sz w:val="28"/>
          <w:szCs w:val="28"/>
        </w:rPr>
        <w:t>（二）教学经费投入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r>
        <w:rPr>
          <w:rFonts w:hint="eastAsia" w:ascii="宋体" w:hAnsi="宋体"/>
          <w:sz w:val="24"/>
        </w:rPr>
        <w:t>贵州省高校相对发达地区学费标准较低，特别是医学类院校，办学成本较高，办学经费比较紧张。在此情况下，学院党委，行政非常重视教学经费的投入，在经费使用上优先保证教学经费的需要。201</w:t>
      </w:r>
      <w:r>
        <w:rPr>
          <w:rFonts w:hint="eastAsia" w:ascii="宋体" w:hAnsi="宋体"/>
          <w:sz w:val="24"/>
          <w:lang w:val="en-US" w:eastAsia="zh-CN"/>
        </w:rPr>
        <w:t>7</w:t>
      </w:r>
      <w:r>
        <w:rPr>
          <w:rFonts w:hint="eastAsia" w:ascii="宋体" w:hAnsi="宋体"/>
          <w:sz w:val="24"/>
        </w:rPr>
        <w:t>年我院教学日常运行经费支出为</w:t>
      </w:r>
      <w:r>
        <w:rPr>
          <w:rFonts w:hint="eastAsia" w:ascii="宋体" w:hAnsi="宋体"/>
          <w:sz w:val="24"/>
          <w:lang w:val="en-US" w:eastAsia="zh-CN"/>
        </w:rPr>
        <w:t>1071</w:t>
      </w:r>
      <w:r>
        <w:rPr>
          <w:rFonts w:hint="eastAsia" w:ascii="宋体" w:hAnsi="宋体"/>
          <w:sz w:val="24"/>
        </w:rPr>
        <w:t>万元，生均本科教学日常支出为</w:t>
      </w:r>
      <w:r>
        <w:rPr>
          <w:rFonts w:hint="eastAsia" w:ascii="宋体" w:hAnsi="宋体"/>
          <w:sz w:val="24"/>
          <w:lang w:val="en-US" w:eastAsia="zh-CN"/>
        </w:rPr>
        <w:t>1673.96</w:t>
      </w:r>
      <w:r>
        <w:rPr>
          <w:rFonts w:hint="eastAsia" w:ascii="宋体" w:hAnsi="宋体"/>
          <w:sz w:val="24"/>
        </w:rPr>
        <w:t>元；实验经费为</w:t>
      </w:r>
      <w:r>
        <w:rPr>
          <w:rFonts w:hint="eastAsia" w:ascii="宋体" w:hAnsi="宋体"/>
          <w:sz w:val="24"/>
          <w:lang w:val="en-US" w:eastAsia="zh-CN"/>
        </w:rPr>
        <w:t>378.83</w:t>
      </w:r>
      <w:r>
        <w:rPr>
          <w:rFonts w:hint="eastAsia" w:ascii="宋体" w:hAnsi="宋体"/>
          <w:sz w:val="24"/>
        </w:rPr>
        <w:t>万元，生均本科实验经费为</w:t>
      </w:r>
      <w:r>
        <w:rPr>
          <w:rFonts w:hint="eastAsia" w:ascii="宋体" w:hAnsi="宋体"/>
          <w:sz w:val="24"/>
          <w:lang w:val="en-US" w:eastAsia="zh-CN"/>
        </w:rPr>
        <w:t>592.11</w:t>
      </w:r>
      <w:r>
        <w:rPr>
          <w:rFonts w:hint="eastAsia" w:ascii="宋体" w:hAnsi="宋体"/>
          <w:sz w:val="24"/>
        </w:rPr>
        <w:t>元；实习经费为</w:t>
      </w:r>
      <w:r>
        <w:rPr>
          <w:rFonts w:hint="eastAsia" w:ascii="宋体" w:hAnsi="宋体"/>
          <w:sz w:val="24"/>
          <w:lang w:val="en-US" w:eastAsia="zh-CN"/>
        </w:rPr>
        <w:t>90.44</w:t>
      </w:r>
      <w:r>
        <w:rPr>
          <w:rFonts w:hint="eastAsia" w:ascii="宋体" w:hAnsi="宋体"/>
          <w:sz w:val="24"/>
        </w:rPr>
        <w:t>万元，生均本科实习经费为</w:t>
      </w:r>
      <w:r>
        <w:rPr>
          <w:rFonts w:hint="eastAsia" w:ascii="宋体" w:hAnsi="宋体"/>
          <w:sz w:val="24"/>
          <w:lang w:val="en-US" w:eastAsia="zh-CN"/>
        </w:rPr>
        <w:t>141.36</w:t>
      </w:r>
      <w:r>
        <w:rPr>
          <w:rFonts w:hint="eastAsia" w:ascii="宋体" w:hAnsi="宋体"/>
          <w:sz w:val="24"/>
        </w:rPr>
        <w:t>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p>
    <w:p>
      <w:pPr>
        <w:jc w:val="center"/>
        <w:rPr>
          <w:rFonts w:hint="eastAsia" w:ascii="宋体" w:hAnsi="宋体"/>
          <w:b/>
          <w:sz w:val="24"/>
        </w:rPr>
      </w:pPr>
      <w:r>
        <w:rPr>
          <w:rFonts w:hint="eastAsia" w:ascii="宋体" w:hAnsi="宋体"/>
          <w:b/>
          <w:sz w:val="24"/>
        </w:rPr>
        <w:t>201</w:t>
      </w:r>
      <w:r>
        <w:rPr>
          <w:rFonts w:hint="eastAsia" w:ascii="宋体" w:hAnsi="宋体"/>
          <w:b/>
          <w:sz w:val="24"/>
          <w:lang w:val="en-US" w:eastAsia="zh-CN"/>
        </w:rPr>
        <w:t>7</w:t>
      </w:r>
      <w:r>
        <w:rPr>
          <w:rFonts w:hint="eastAsia" w:ascii="宋体" w:hAnsi="宋体"/>
          <w:b/>
          <w:sz w:val="24"/>
        </w:rPr>
        <w:t>年遵义医学院医学与科技学院教学经费总投入图</w:t>
      </w:r>
    </w:p>
    <w:p>
      <w:pPr>
        <w:jc w:val="center"/>
        <w:rPr>
          <w:rFonts w:hint="eastAsia" w:ascii="宋体" w:hAnsi="宋体"/>
          <w:sz w:val="24"/>
        </w:rPr>
      </w:pPr>
      <w:r>
        <w:rPr>
          <w:rFonts w:hint="eastAsia" w:ascii="宋体" w:hAnsi="宋体"/>
          <w:b/>
          <w:sz w:val="24"/>
        </w:rPr>
        <w:t xml:space="preserve">                                                </w:t>
      </w:r>
      <w:r>
        <w:rPr>
          <w:rFonts w:hint="eastAsia" w:ascii="宋体" w:hAnsi="宋体"/>
          <w:sz w:val="24"/>
        </w:rPr>
        <w:t xml:space="preserve"> 单位：万元</w:t>
      </w:r>
    </w:p>
    <w:p>
      <w:pPr>
        <w:rPr>
          <w:rFonts w:hint="eastAsia" w:ascii="宋体" w:hAnsi="宋体"/>
          <w:sz w:val="24"/>
        </w:rPr>
      </w:pPr>
      <w:r>
        <w:rPr>
          <w:rFonts w:ascii="宋体" w:hAnsi="宋体"/>
          <w:sz w:val="24"/>
        </w:rPr>
        <w:object>
          <v:shape id="_x0000_i1027" o:spt="75" type="#_x0000_t75" style="height:107.85pt;width:384.25pt;" o:ole="t" filled="f" o:preferrelative="t" stroked="f" coordsize="21600,21600">
            <v:path/>
            <v:fill on="f" focussize="0,0"/>
            <v:stroke on="f"/>
            <v:imagedata r:id="rId8" o:title=""/>
            <o:lock v:ext="edit" aspectratio="t"/>
            <w10:wrap type="none"/>
            <w10:anchorlock/>
          </v:shape>
          <o:OLEObject Type="Embed" ProgID="MSGraph.Chart.8" ShapeID="_x0000_i1027" DrawAspect="Content" ObjectID="_1468075725" r:id="rId7">
            <o:LockedField>false</o:LockedField>
          </o:OLEObject>
        </w:object>
      </w: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r>
        <w:rPr>
          <w:rFonts w:hint="eastAsia" w:ascii="宋体" w:hAnsi="宋体"/>
          <w:b/>
          <w:sz w:val="24"/>
        </w:rPr>
        <w:t>201</w:t>
      </w:r>
      <w:r>
        <w:rPr>
          <w:rFonts w:hint="eastAsia" w:ascii="宋体" w:hAnsi="宋体"/>
          <w:b/>
          <w:sz w:val="24"/>
          <w:lang w:val="en-US" w:eastAsia="zh-CN"/>
        </w:rPr>
        <w:t>7</w:t>
      </w:r>
      <w:r>
        <w:rPr>
          <w:rFonts w:hint="eastAsia" w:ascii="宋体" w:hAnsi="宋体"/>
          <w:b/>
          <w:sz w:val="24"/>
        </w:rPr>
        <w:t>年遵义医学院医学与科技学院教学经费投入生均值图</w:t>
      </w:r>
    </w:p>
    <w:p>
      <w:pPr>
        <w:jc w:val="center"/>
        <w:rPr>
          <w:rFonts w:hint="eastAsia" w:ascii="宋体" w:hAnsi="宋体"/>
          <w:sz w:val="24"/>
        </w:rPr>
      </w:pPr>
      <w:r>
        <w:rPr>
          <w:rFonts w:hint="eastAsia" w:ascii="宋体" w:hAnsi="宋体"/>
          <w:b/>
          <w:sz w:val="24"/>
        </w:rPr>
        <w:t xml:space="preserve">                                                   </w:t>
      </w:r>
      <w:r>
        <w:rPr>
          <w:rFonts w:hint="eastAsia" w:ascii="宋体" w:hAnsi="宋体"/>
          <w:sz w:val="24"/>
        </w:rPr>
        <w:t>单位：元</w:t>
      </w:r>
    </w:p>
    <w:p>
      <w:pPr>
        <w:rPr>
          <w:rFonts w:ascii="宋体" w:hAnsi="宋体"/>
          <w:b/>
          <w:sz w:val="24"/>
        </w:rPr>
      </w:pPr>
      <w:r>
        <w:rPr>
          <w:rFonts w:ascii="宋体" w:hAnsi="宋体"/>
          <w:b/>
          <w:sz w:val="24"/>
        </w:rPr>
        <w:object>
          <v:shape id="_x0000_i1028" o:spt="75" type="#_x0000_t75" style="height:86.4pt;width:414.45pt;" o:ole="t" filled="f" o:preferrelative="t" stroked="f" coordsize="21600,21600">
            <v:path/>
            <v:fill on="f" focussize="0,0"/>
            <v:stroke on="f"/>
            <v:imagedata r:id="rId10" o:title=""/>
            <o:lock v:ext="edit" aspectratio="t"/>
            <w10:wrap type="none"/>
            <w10:anchorlock/>
          </v:shape>
          <o:OLEObject Type="Embed" ProgID="MSGraph.Chart.8" ShapeID="_x0000_i1028" DrawAspect="Content" ObjectID="_1468075726" r:id="rId9">
            <o:LockedField>false</o:LockedField>
          </o:OLEObject>
        </w:object>
      </w:r>
    </w:p>
    <w:p>
      <w:pPr>
        <w:jc w:val="center"/>
        <w:rPr>
          <w:rFonts w:hint="eastAsia" w:ascii="宋体" w:hAnsi="宋体"/>
          <w:b/>
          <w:sz w:val="24"/>
        </w:rPr>
      </w:pPr>
      <w:r>
        <w:rPr>
          <w:rFonts w:hint="eastAsia" w:ascii="宋体" w:hAnsi="宋体"/>
          <w:b/>
          <w:sz w:val="24"/>
        </w:rPr>
        <w:t xml:space="preserve"> </w:t>
      </w:r>
    </w:p>
    <w:p>
      <w:pPr>
        <w:rPr>
          <w:rFonts w:hint="eastAsia" w:ascii="黑体" w:hAnsi="黑体" w:eastAsia="黑体" w:cs="黑体"/>
          <w:b w:val="0"/>
          <w:bCs/>
          <w:kern w:val="0"/>
          <w:sz w:val="28"/>
          <w:szCs w:val="28"/>
        </w:rPr>
      </w:pPr>
      <w:r>
        <w:rPr>
          <w:rFonts w:hint="eastAsia" w:ascii="黑体" w:hAnsi="黑体" w:eastAsia="黑体" w:cs="黑体"/>
          <w:b w:val="0"/>
          <w:bCs/>
          <w:kern w:val="0"/>
          <w:sz w:val="28"/>
          <w:szCs w:val="28"/>
        </w:rPr>
        <w:t>（三）教学条件</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b w:val="0"/>
          <w:bCs/>
          <w:kern w:val="0"/>
          <w:sz w:val="24"/>
        </w:rPr>
      </w:pPr>
      <w:r>
        <w:rPr>
          <w:rFonts w:hint="eastAsia" w:ascii="黑体" w:hAnsi="黑体" w:eastAsia="黑体" w:cs="黑体"/>
          <w:b w:val="0"/>
          <w:bCs/>
          <w:kern w:val="0"/>
          <w:sz w:val="24"/>
        </w:rPr>
        <w:t>1.教学用房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sz w:val="24"/>
        </w:rPr>
      </w:pPr>
      <w:r>
        <w:rPr>
          <w:rFonts w:hint="eastAsia" w:ascii="宋体" w:hAnsi="宋体" w:cs="宋体"/>
          <w:sz w:val="24"/>
          <w:lang w:bidi="ar"/>
        </w:rPr>
        <w:t>1、土地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sz w:val="24"/>
        </w:rPr>
      </w:pPr>
      <w:r>
        <w:rPr>
          <w:rFonts w:hint="eastAsia" w:ascii="宋体" w:hAnsi="宋体" w:cs="宋体"/>
          <w:sz w:val="24"/>
          <w:lang w:bidi="ar"/>
        </w:rPr>
        <w:t>学院占地面积</w:t>
      </w:r>
      <w:r>
        <w:rPr>
          <w:rFonts w:hint="eastAsia" w:ascii="宋体" w:hAnsi="宋体"/>
          <w:sz w:val="24"/>
          <w:lang w:bidi="ar"/>
        </w:rPr>
        <w:t>500</w:t>
      </w:r>
      <w:r>
        <w:rPr>
          <w:rFonts w:hint="eastAsia" w:ascii="宋体" w:hAnsi="宋体" w:cs="宋体"/>
          <w:sz w:val="24"/>
          <w:lang w:bidi="ar"/>
        </w:rPr>
        <w:t>余亩。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sz w:val="24"/>
        </w:rPr>
      </w:pPr>
      <w:r>
        <w:rPr>
          <w:rFonts w:hint="eastAsia" w:ascii="宋体" w:hAnsi="宋体" w:cs="宋体"/>
          <w:sz w:val="24"/>
          <w:lang w:bidi="ar"/>
        </w:rPr>
        <w:t>2、教学用房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Segoe UI"/>
          <w:kern w:val="0"/>
          <w:sz w:val="24"/>
        </w:rPr>
      </w:pPr>
      <w:r>
        <w:rPr>
          <w:rFonts w:hint="eastAsia" w:ascii="宋体" w:hAnsi="宋体" w:cs="宋体"/>
          <w:sz w:val="24"/>
          <w:lang w:bidi="ar"/>
        </w:rPr>
        <w:t>学院现有教学行政用房面积4</w:t>
      </w:r>
      <w:r>
        <w:rPr>
          <w:rFonts w:hint="eastAsia" w:ascii="宋体" w:hAnsi="宋体" w:cs="宋体"/>
          <w:sz w:val="24"/>
          <w:lang w:val="en-US" w:eastAsia="zh-CN" w:bidi="ar"/>
        </w:rPr>
        <w:t>6171.69</w:t>
      </w:r>
      <w:r>
        <w:rPr>
          <w:rFonts w:hint="eastAsia" w:ascii="宋体" w:hAnsi="宋体" w:cs="宋体"/>
          <w:sz w:val="24"/>
          <w:lang w:bidi="ar"/>
        </w:rPr>
        <w:t>m</w:t>
      </w:r>
      <w:r>
        <w:rPr>
          <w:rFonts w:hint="eastAsia" w:ascii="宋体" w:hAnsi="宋体" w:cs="宋体"/>
          <w:sz w:val="24"/>
          <w:vertAlign w:val="superscript"/>
          <w:lang w:bidi="ar"/>
        </w:rPr>
        <w:t>2</w:t>
      </w:r>
      <w:r>
        <w:rPr>
          <w:rFonts w:hint="eastAsia" w:ascii="宋体" w:hAnsi="宋体" w:cs="宋体"/>
          <w:sz w:val="24"/>
          <w:lang w:bidi="ar"/>
        </w:rPr>
        <w:t>，生均教学行政用房面积</w:t>
      </w:r>
      <w:r>
        <w:rPr>
          <w:rFonts w:hint="eastAsia" w:ascii="宋体" w:hAnsi="宋体" w:cs="宋体"/>
          <w:sz w:val="24"/>
          <w:lang w:val="en-US" w:eastAsia="zh-CN" w:bidi="ar"/>
        </w:rPr>
        <w:t>15.4</w:t>
      </w:r>
      <w:r>
        <w:rPr>
          <w:rFonts w:hint="eastAsia" w:ascii="宋体" w:hAnsi="宋体" w:cs="宋体"/>
          <w:sz w:val="24"/>
          <w:lang w:bidi="ar"/>
        </w:rPr>
        <w:t>m</w:t>
      </w:r>
      <w:r>
        <w:rPr>
          <w:rFonts w:hint="eastAsia" w:ascii="宋体" w:hAnsi="宋体" w:cs="宋体"/>
          <w:sz w:val="24"/>
          <w:vertAlign w:val="superscript"/>
          <w:lang w:bidi="ar"/>
        </w:rPr>
        <w:t>2</w:t>
      </w:r>
      <w:r>
        <w:rPr>
          <w:rFonts w:hint="eastAsia" w:ascii="宋体" w:hAnsi="宋体" w:cs="宋体"/>
          <w:sz w:val="24"/>
          <w:lang w:bidi="ar"/>
        </w:rPr>
        <w:t>，其中生均实验室面积</w:t>
      </w:r>
      <w:r>
        <w:rPr>
          <w:rFonts w:hint="eastAsia" w:ascii="宋体" w:hAnsi="宋体" w:cs="宋体"/>
          <w:sz w:val="24"/>
          <w:lang w:val="en-US" w:eastAsia="zh-CN" w:bidi="ar"/>
        </w:rPr>
        <w:t>8.1</w:t>
      </w:r>
      <w:r>
        <w:rPr>
          <w:rFonts w:hint="eastAsia" w:ascii="宋体" w:hAnsi="宋体" w:cs="宋体"/>
          <w:sz w:val="24"/>
          <w:lang w:bidi="ar"/>
        </w:rPr>
        <w:t>m</w:t>
      </w:r>
      <w:r>
        <w:rPr>
          <w:rFonts w:hint="eastAsia" w:ascii="宋体" w:hAnsi="宋体" w:cs="宋体"/>
          <w:sz w:val="24"/>
          <w:vertAlign w:val="superscript"/>
          <w:lang w:bidi="ar"/>
        </w:rPr>
        <w:t>2</w:t>
      </w:r>
      <w:r>
        <w:rPr>
          <w:rFonts w:hint="eastAsia" w:ascii="宋体" w:hAnsi="宋体" w:cs="宋体"/>
          <w:sz w:val="24"/>
          <w:lang w:bidi="ar"/>
        </w:rPr>
        <w:t>，生均宿舍面积</w:t>
      </w:r>
      <w:r>
        <w:rPr>
          <w:rFonts w:hint="eastAsia" w:ascii="宋体" w:hAnsi="宋体" w:cs="宋体"/>
          <w:sz w:val="24"/>
          <w:lang w:val="en-US" w:eastAsia="zh-CN" w:bidi="ar"/>
        </w:rPr>
        <w:t>19.3</w:t>
      </w:r>
      <w:r>
        <w:rPr>
          <w:rFonts w:hint="eastAsia" w:ascii="宋体" w:hAnsi="宋体" w:cs="宋体"/>
          <w:sz w:val="24"/>
          <w:lang w:bidi="ar"/>
        </w:rPr>
        <w:t xml:space="preserve"> m</w:t>
      </w:r>
      <w:r>
        <w:rPr>
          <w:rFonts w:hint="eastAsia" w:ascii="宋体" w:hAnsi="宋体" w:cs="宋体"/>
          <w:sz w:val="24"/>
          <w:vertAlign w:val="superscript"/>
          <w:lang w:bidi="ar"/>
        </w:rPr>
        <w:t>2</w:t>
      </w:r>
      <w:r>
        <w:rPr>
          <w:rFonts w:hint="eastAsia" w:ascii="宋体" w:hAnsi="宋体" w:cs="宋体"/>
          <w:sz w:val="24"/>
          <w:lang w:bidi="ar"/>
        </w:rPr>
        <w:t>。</w:t>
      </w:r>
      <w:r>
        <w:rPr>
          <w:rFonts w:hint="eastAsia" w:ascii="宋体" w:hAnsi="宋体" w:cs="Segoe UI"/>
          <w:kern w:val="0"/>
          <w:sz w:val="24"/>
        </w:rPr>
        <w:t>教学行政用房充分保证学院本科生教学需要，房屋质量安全，房屋资源分配、布局合理，教学利用率高，为学院本科生教学提供硬件平台良好，办学效益高。</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b w:val="0"/>
          <w:bCs/>
          <w:kern w:val="0"/>
          <w:sz w:val="24"/>
        </w:rPr>
      </w:pPr>
      <w:r>
        <w:rPr>
          <w:rFonts w:hint="eastAsia" w:ascii="黑体" w:hAnsi="黑体" w:eastAsia="黑体" w:cs="黑体"/>
          <w:b w:val="0"/>
          <w:bCs/>
          <w:kern w:val="0"/>
          <w:sz w:val="24"/>
          <w:lang w:val="en-US" w:eastAsia="zh-CN"/>
        </w:rPr>
        <w:t>2.</w:t>
      </w:r>
      <w:r>
        <w:rPr>
          <w:rFonts w:hint="eastAsia" w:ascii="黑体" w:hAnsi="黑体" w:eastAsia="黑体" w:cs="黑体"/>
          <w:b w:val="0"/>
          <w:bCs/>
          <w:kern w:val="0"/>
          <w:sz w:val="24"/>
        </w:rPr>
        <w:t>图书馆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Segoe UI"/>
          <w:b/>
          <w:kern w:val="0"/>
          <w:sz w:val="24"/>
        </w:rPr>
      </w:pPr>
      <w:r>
        <w:rPr>
          <w:rFonts w:hint="eastAsia" w:ascii="宋体" w:hAnsi="宋体"/>
          <w:sz w:val="24"/>
        </w:rPr>
        <w:t>学院图书馆</w:t>
      </w:r>
      <w:r>
        <w:rPr>
          <w:rFonts w:hint="eastAsia" w:ascii="宋体" w:hAnsi="宋体"/>
          <w:sz w:val="24"/>
          <w:lang w:val="en-US" w:eastAsia="zh-CN"/>
        </w:rPr>
        <w:t>馆</w:t>
      </w:r>
      <w:r>
        <w:rPr>
          <w:rFonts w:hint="eastAsia" w:ascii="宋体" w:hAnsi="宋体"/>
          <w:sz w:val="24"/>
        </w:rPr>
        <w:t>藏图书</w:t>
      </w:r>
      <w:r>
        <w:rPr>
          <w:rFonts w:hint="eastAsia" w:ascii="宋体" w:hAnsi="宋体"/>
          <w:sz w:val="24"/>
          <w:lang w:val="en-US" w:eastAsia="zh-CN"/>
        </w:rPr>
        <w:t>25</w:t>
      </w:r>
      <w:r>
        <w:rPr>
          <w:rFonts w:ascii="宋体" w:hAnsi="宋体"/>
          <w:sz w:val="24"/>
        </w:rPr>
        <w:t>余</w:t>
      </w:r>
      <w:r>
        <w:rPr>
          <w:rFonts w:hint="eastAsia" w:ascii="宋体" w:hAnsi="宋体"/>
          <w:sz w:val="24"/>
        </w:rPr>
        <w:t>万册。与母体学校共享中国知网、重庆维普、万方、SCIE、CBM、CMCC、MEDLINE、OVID LWW、BIOSIS Previews及自建学位论文、医学教学视频、信息简报等数据库。网络资源24 小时开放，纸质图书开架率100%，WIFI 全覆盖，能满足学生自主学习的需要。</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b w:val="0"/>
          <w:bCs/>
          <w:kern w:val="0"/>
          <w:sz w:val="24"/>
          <w:lang w:val="en-US" w:eastAsia="zh-CN"/>
        </w:rPr>
      </w:pPr>
      <w:r>
        <w:rPr>
          <w:rFonts w:hint="eastAsia" w:ascii="黑体" w:hAnsi="黑体" w:eastAsia="黑体" w:cs="黑体"/>
          <w:b w:val="0"/>
          <w:bCs/>
          <w:kern w:val="0"/>
          <w:sz w:val="24"/>
          <w:lang w:val="en-US" w:eastAsia="zh-CN"/>
        </w:rPr>
        <w:t>3.仪器设备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Segoe UI"/>
          <w:kern w:val="0"/>
          <w:sz w:val="24"/>
        </w:rPr>
      </w:pPr>
      <w:r>
        <w:rPr>
          <w:rFonts w:hint="eastAsia" w:ascii="宋体" w:hAnsi="宋体" w:cs="Segoe UI"/>
          <w:kern w:val="0"/>
          <w:sz w:val="24"/>
        </w:rPr>
        <w:t>学</w:t>
      </w:r>
      <w:r>
        <w:rPr>
          <w:rFonts w:hint="eastAsia" w:ascii="宋体" w:hAnsi="宋体" w:cs="Segoe UI"/>
          <w:kern w:val="0"/>
          <w:sz w:val="24"/>
          <w:lang w:val="en-US" w:eastAsia="zh-CN"/>
        </w:rPr>
        <w:t>院</w:t>
      </w:r>
      <w:r>
        <w:rPr>
          <w:rFonts w:hint="eastAsia" w:ascii="宋体" w:hAnsi="宋体" w:cs="Segoe UI"/>
          <w:kern w:val="0"/>
          <w:sz w:val="24"/>
        </w:rPr>
        <w:t>现有教学科研仪器设备总值</w:t>
      </w:r>
      <w:r>
        <w:rPr>
          <w:rFonts w:hint="eastAsia" w:ascii="宋体" w:hAnsi="宋体" w:cs="Segoe UI"/>
          <w:kern w:val="0"/>
          <w:sz w:val="24"/>
          <w:lang w:val="en-US" w:eastAsia="zh-CN"/>
        </w:rPr>
        <w:t>1235</w:t>
      </w:r>
      <w:r>
        <w:rPr>
          <w:rFonts w:hint="eastAsia" w:ascii="宋体" w:hAnsi="宋体" w:cs="Segoe UI"/>
          <w:kern w:val="0"/>
          <w:sz w:val="24"/>
        </w:rPr>
        <w:t>万元，生均教学科研仪器设备值为0.</w:t>
      </w:r>
      <w:r>
        <w:rPr>
          <w:rFonts w:hint="eastAsia" w:ascii="宋体" w:hAnsi="宋体" w:cs="Segoe UI"/>
          <w:kern w:val="0"/>
          <w:sz w:val="24"/>
          <w:lang w:val="en-US" w:eastAsia="zh-CN"/>
        </w:rPr>
        <w:t>4117</w:t>
      </w:r>
      <w:r>
        <w:rPr>
          <w:rFonts w:hint="eastAsia" w:ascii="宋体" w:hAnsi="宋体" w:cs="Segoe UI"/>
          <w:kern w:val="0"/>
          <w:sz w:val="24"/>
        </w:rPr>
        <w:t>万元，201</w:t>
      </w:r>
      <w:r>
        <w:rPr>
          <w:rFonts w:hint="eastAsia" w:ascii="宋体" w:hAnsi="宋体" w:cs="Segoe UI"/>
          <w:kern w:val="0"/>
          <w:sz w:val="24"/>
          <w:lang w:val="en-US" w:eastAsia="zh-CN"/>
        </w:rPr>
        <w:t>7</w:t>
      </w:r>
      <w:r>
        <w:rPr>
          <w:rFonts w:hint="eastAsia" w:ascii="宋体" w:hAnsi="宋体" w:cs="Segoe UI"/>
          <w:kern w:val="0"/>
          <w:sz w:val="24"/>
        </w:rPr>
        <w:t>-201</w:t>
      </w:r>
      <w:r>
        <w:rPr>
          <w:rFonts w:hint="eastAsia" w:ascii="宋体" w:hAnsi="宋体" w:cs="Segoe UI"/>
          <w:kern w:val="0"/>
          <w:sz w:val="24"/>
          <w:lang w:val="en-US" w:eastAsia="zh-CN"/>
        </w:rPr>
        <w:t>8</w:t>
      </w:r>
      <w:r>
        <w:rPr>
          <w:rFonts w:hint="eastAsia" w:ascii="宋体" w:hAnsi="宋体" w:cs="Segoe UI"/>
          <w:kern w:val="0"/>
          <w:sz w:val="24"/>
        </w:rPr>
        <w:t>学年新增教学科研设备值为</w:t>
      </w:r>
      <w:r>
        <w:rPr>
          <w:rFonts w:hint="eastAsia" w:ascii="宋体" w:hAnsi="宋体" w:cs="Segoe UI"/>
          <w:kern w:val="0"/>
          <w:sz w:val="24"/>
          <w:lang w:val="en-US" w:eastAsia="zh-CN"/>
        </w:rPr>
        <w:t>1235</w:t>
      </w:r>
      <w:r>
        <w:rPr>
          <w:rFonts w:hint="eastAsia" w:ascii="宋体" w:hAnsi="宋体" w:cs="Segoe UI"/>
          <w:kern w:val="0"/>
          <w:sz w:val="24"/>
        </w:rPr>
        <w:t>万元，增长</w:t>
      </w:r>
      <w:r>
        <w:rPr>
          <w:rFonts w:hint="eastAsia" w:ascii="宋体" w:hAnsi="宋体" w:cs="Segoe UI"/>
          <w:kern w:val="0"/>
          <w:sz w:val="24"/>
          <w:lang w:val="en-US" w:eastAsia="zh-CN"/>
        </w:rPr>
        <w:t>100</w:t>
      </w:r>
      <w:r>
        <w:rPr>
          <w:rFonts w:hint="eastAsia" w:ascii="宋体" w:hAnsi="宋体" w:cs="Segoe UI"/>
          <w:kern w:val="0"/>
          <w:sz w:val="24"/>
        </w:rPr>
        <w:t>%。</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b w:val="0"/>
          <w:bCs/>
          <w:kern w:val="0"/>
          <w:sz w:val="24"/>
          <w:lang w:val="en-US" w:eastAsia="zh-CN"/>
        </w:rPr>
      </w:pPr>
      <w:r>
        <w:rPr>
          <w:rFonts w:hint="eastAsia" w:ascii="黑体" w:hAnsi="黑体" w:eastAsia="黑体" w:cs="黑体"/>
          <w:b w:val="0"/>
          <w:bCs/>
          <w:kern w:val="0"/>
          <w:sz w:val="24"/>
          <w:lang w:val="en-US" w:eastAsia="zh-CN"/>
        </w:rPr>
        <w:t>4.网络与数字化资源建设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cs="Segoe UI"/>
          <w:kern w:val="0"/>
          <w:sz w:val="24"/>
        </w:rPr>
        <w:t>随着互联网和大数据时代的来临，学</w:t>
      </w:r>
      <w:r>
        <w:rPr>
          <w:rFonts w:hint="eastAsia" w:ascii="宋体" w:hAnsi="宋体" w:cs="Segoe UI"/>
          <w:kern w:val="0"/>
          <w:sz w:val="24"/>
          <w:lang w:val="en-US" w:eastAsia="zh-CN"/>
        </w:rPr>
        <w:t>院</w:t>
      </w:r>
      <w:r>
        <w:rPr>
          <w:rFonts w:hint="eastAsia" w:ascii="宋体" w:hAnsi="宋体" w:cs="Segoe UI"/>
          <w:kern w:val="0"/>
          <w:sz w:val="24"/>
        </w:rPr>
        <w:t>校园网进行了升级改造。目前校园网采用了万兆双核心、汇聚双万兆上联骨干网络，实现了全部用户百兆、千兆到桌面，覆盖了全院办公区、教学区、宿舍区。</w:t>
      </w:r>
    </w:p>
    <w:p>
      <w:pPr>
        <w:rPr>
          <w:rFonts w:hint="eastAsia" w:ascii="宋体" w:hAnsi="宋体" w:cs="Segoe UI"/>
          <w:b/>
          <w:kern w:val="0"/>
          <w:sz w:val="24"/>
        </w:rPr>
      </w:pPr>
    </w:p>
    <w:p>
      <w:pPr>
        <w:rPr>
          <w:rFonts w:hint="eastAsia" w:ascii="宋体" w:hAnsi="宋体" w:cs="Segoe UI"/>
          <w:b/>
          <w:kern w:val="0"/>
          <w:sz w:val="24"/>
        </w:rPr>
      </w:pPr>
    </w:p>
    <w:p>
      <w:pPr>
        <w:rPr>
          <w:rFonts w:hint="eastAsia" w:ascii="黑体" w:hAnsi="黑体" w:eastAsia="黑体" w:cs="黑体"/>
          <w:b w:val="0"/>
          <w:bCs/>
          <w:kern w:val="0"/>
          <w:sz w:val="30"/>
          <w:szCs w:val="30"/>
        </w:rPr>
      </w:pPr>
      <w:r>
        <w:rPr>
          <w:rFonts w:hint="eastAsia" w:ascii="黑体" w:hAnsi="黑体" w:eastAsia="黑体" w:cs="黑体"/>
          <w:b w:val="0"/>
          <w:bCs/>
          <w:kern w:val="0"/>
          <w:sz w:val="30"/>
          <w:szCs w:val="30"/>
        </w:rPr>
        <w:t>三、教学建设与改革</w:t>
      </w:r>
    </w:p>
    <w:p>
      <w:pPr>
        <w:rPr>
          <w:rFonts w:hint="eastAsia" w:ascii="黑体" w:hAnsi="黑体" w:eastAsia="黑体" w:cs="黑体"/>
          <w:b w:val="0"/>
          <w:bCs/>
          <w:kern w:val="0"/>
          <w:sz w:val="28"/>
          <w:szCs w:val="28"/>
        </w:rPr>
      </w:pPr>
      <w:r>
        <w:rPr>
          <w:rFonts w:hint="eastAsia" w:ascii="黑体" w:hAnsi="黑体" w:eastAsia="黑体" w:cs="黑体"/>
          <w:b w:val="0"/>
          <w:bCs/>
          <w:kern w:val="0"/>
          <w:sz w:val="28"/>
          <w:szCs w:val="28"/>
        </w:rPr>
        <w:t>（一）培养方案</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b w:val="0"/>
          <w:bCs/>
          <w:kern w:val="0"/>
          <w:sz w:val="24"/>
          <w:lang w:val="en-US" w:eastAsia="zh-CN"/>
        </w:rPr>
      </w:pPr>
      <w:r>
        <w:rPr>
          <w:rFonts w:hint="eastAsia" w:ascii="黑体" w:hAnsi="黑体" w:eastAsia="黑体" w:cs="黑体"/>
          <w:b w:val="0"/>
          <w:bCs/>
          <w:kern w:val="0"/>
          <w:sz w:val="24"/>
          <w:lang w:val="en-US" w:eastAsia="zh-CN"/>
        </w:rPr>
        <w:t>1.培养方案特点</w:t>
      </w:r>
    </w:p>
    <w:p>
      <w:pPr>
        <w:keepNext w:val="0"/>
        <w:keepLines w:val="0"/>
        <w:pageBreakBefore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sz w:val="24"/>
        </w:rPr>
      </w:pPr>
      <w:r>
        <w:rPr>
          <w:rFonts w:hint="eastAsia" w:ascii="宋体" w:hAnsi="宋体"/>
          <w:sz w:val="24"/>
        </w:rPr>
        <w:t>学院培养方案本着</w:t>
      </w:r>
      <w:r>
        <w:rPr>
          <w:rFonts w:ascii="宋体" w:hAnsi="宋体"/>
          <w:sz w:val="24"/>
        </w:rPr>
        <w:t>“</w:t>
      </w:r>
      <w:r>
        <w:rPr>
          <w:rFonts w:hint="eastAsia" w:ascii="宋体" w:hAnsi="宋体"/>
          <w:sz w:val="24"/>
        </w:rPr>
        <w:t>拓宽基础、分类培养，前期趋同、后期分化</w:t>
      </w:r>
      <w:r>
        <w:rPr>
          <w:rFonts w:ascii="宋体" w:hAnsi="宋体"/>
          <w:sz w:val="24"/>
        </w:rPr>
        <w:t>”</w:t>
      </w:r>
      <w:r>
        <w:rPr>
          <w:rFonts w:hint="eastAsia" w:ascii="宋体" w:hAnsi="宋体"/>
          <w:sz w:val="24"/>
        </w:rPr>
        <w:t>的思路，在总结教育教学实践经验和各专业教学计划执行效果的基础上，结合各专业新的发展趋势，按照</w:t>
      </w:r>
      <w:r>
        <w:rPr>
          <w:rFonts w:ascii="宋体" w:hAnsi="宋体"/>
          <w:sz w:val="24"/>
        </w:rPr>
        <w:t>“</w:t>
      </w:r>
      <w:r>
        <w:rPr>
          <w:rFonts w:hint="eastAsia" w:ascii="宋体" w:hAnsi="宋体"/>
          <w:sz w:val="24"/>
        </w:rPr>
        <w:t>宽口径、厚基础、重实践、强能力、高素质</w:t>
      </w:r>
      <w:r>
        <w:rPr>
          <w:rFonts w:ascii="宋体" w:hAnsi="宋体"/>
          <w:sz w:val="24"/>
        </w:rPr>
        <w:t>”</w:t>
      </w:r>
      <w:r>
        <w:rPr>
          <w:rFonts w:hint="eastAsia" w:ascii="宋体" w:hAnsi="宋体"/>
          <w:sz w:val="24"/>
        </w:rPr>
        <w:t xml:space="preserve">的原则，构建以着力培养具有科学精神和人文素养、基础扎实、具有创新精神和实践能力的高素质应用型医学专门人才的新课程设置。其培养方案，体现了学院的人才培养目标定位、办学特色及各个专业的办学特点，突出了具有时代特征的教育思想观念，顺应了当前教育教学改革的主流，有利于学生人文素质和科学素质的全面提高，有利于学习能力、交流沟通能力、创新精神和实践能力的培养。 </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b w:val="0"/>
          <w:bCs/>
          <w:kern w:val="0"/>
          <w:sz w:val="24"/>
          <w:lang w:val="en-US" w:eastAsia="zh-CN"/>
        </w:rPr>
      </w:pPr>
      <w:r>
        <w:rPr>
          <w:rFonts w:hint="eastAsia" w:ascii="黑体" w:hAnsi="黑体" w:eastAsia="黑体" w:cs="黑体"/>
          <w:b w:val="0"/>
          <w:bCs/>
          <w:kern w:val="0"/>
          <w:sz w:val="24"/>
          <w:lang w:val="en-US" w:eastAsia="zh-CN"/>
        </w:rPr>
        <w:t>2.课程体系</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firstLine="480" w:firstLineChars="200"/>
        <w:jc w:val="both"/>
        <w:textAlignment w:val="auto"/>
        <w:outlineLvl w:val="9"/>
        <w:rPr>
          <w:rFonts w:hint="eastAsia"/>
        </w:rPr>
      </w:pPr>
      <w:r>
        <w:rPr>
          <w:rFonts w:hint="eastAsia"/>
        </w:rPr>
        <w:t>学院201</w:t>
      </w:r>
      <w:r>
        <w:rPr>
          <w:rFonts w:hint="eastAsia"/>
          <w:lang w:val="en-US" w:eastAsia="zh-CN"/>
        </w:rPr>
        <w:t>7</w:t>
      </w:r>
      <w:r>
        <w:rPr>
          <w:rFonts w:hint="eastAsia"/>
        </w:rPr>
        <w:t>-201</w:t>
      </w:r>
      <w:r>
        <w:rPr>
          <w:rFonts w:hint="eastAsia"/>
          <w:lang w:val="en-US" w:eastAsia="zh-CN"/>
        </w:rPr>
        <w:t>8</w:t>
      </w:r>
      <w:r>
        <w:rPr>
          <w:rFonts w:hint="eastAsia"/>
        </w:rPr>
        <w:t>学年开设必修课总门数</w:t>
      </w:r>
      <w:r>
        <w:rPr>
          <w:rFonts w:hint="eastAsia"/>
          <w:lang w:val="en-US" w:eastAsia="zh-CN"/>
        </w:rPr>
        <w:t>166</w:t>
      </w:r>
      <w:r>
        <w:rPr>
          <w:rFonts w:hint="eastAsia"/>
        </w:rPr>
        <w:t>门，选修课</w:t>
      </w:r>
      <w:r>
        <w:rPr>
          <w:rFonts w:hint="eastAsia"/>
          <w:lang w:val="en-US" w:eastAsia="zh-CN"/>
        </w:rPr>
        <w:t>300</w:t>
      </w:r>
      <w:r>
        <w:rPr>
          <w:rFonts w:hint="eastAsia"/>
        </w:rPr>
        <w:t>余门，逐步在全</w:t>
      </w:r>
      <w:r>
        <w:rPr>
          <w:rFonts w:hint="eastAsia"/>
          <w:lang w:val="en-US" w:eastAsia="zh-CN"/>
        </w:rPr>
        <w:t>院</w:t>
      </w:r>
      <w:r>
        <w:rPr>
          <w:rFonts w:hint="eastAsia"/>
        </w:rPr>
        <w:t>各专业推进课程体系改革，构建以通识教育、专业基础课程、专业课程和实践创新平台为主要模块的课程体系。课程设置中，强化实践教学，加大选修课比例，促进学生个性发展；严格控制学时数，为学生自主学习、第二课堂活动等提供时间保障；鼓励学生积极参加科研、创新、社会实践和各类竞赛活动等，并计入学分；在隐性课程模块中，注重把长征精神教育融入学生德育教育体系。</w:t>
      </w:r>
    </w:p>
    <w:p>
      <w:pPr>
        <w:keepNext w:val="0"/>
        <w:keepLines w:val="0"/>
        <w:pageBreakBefore w:val="0"/>
        <w:kinsoku/>
        <w:wordWrap/>
        <w:overflowPunct/>
        <w:topLinePunct w:val="0"/>
        <w:autoSpaceDE/>
        <w:autoSpaceDN/>
        <w:bidi w:val="0"/>
        <w:adjustRightInd/>
        <w:snapToGrid/>
        <w:spacing w:line="400" w:lineRule="exact"/>
        <w:ind w:left="0" w:firstLine="482" w:firstLineChars="200"/>
        <w:textAlignment w:val="auto"/>
        <w:rPr>
          <w:rFonts w:hint="eastAsia" w:ascii="宋体" w:hAnsi="宋体" w:cs="Segoe UI"/>
          <w:b/>
          <w:kern w:val="0"/>
          <w:sz w:val="24"/>
        </w:rPr>
      </w:pPr>
      <w:r>
        <w:rPr>
          <w:rFonts w:hint="eastAsia" w:ascii="宋体" w:hAnsi="宋体" w:cs="Segoe UI"/>
          <w:b/>
          <w:kern w:val="0"/>
          <w:sz w:val="24"/>
        </w:rPr>
        <w:t>课堂教学规模情况</w:t>
      </w:r>
    </w:p>
    <w:p>
      <w:pPr>
        <w:keepNext w:val="0"/>
        <w:keepLines w:val="0"/>
        <w:pageBreakBefore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sz w:val="24"/>
        </w:rPr>
      </w:pPr>
      <w:r>
        <w:rPr>
          <w:rFonts w:hint="eastAsia" w:ascii="宋体" w:hAnsi="宋体" w:cs="Segoe UI"/>
          <w:kern w:val="0"/>
          <w:sz w:val="24"/>
        </w:rPr>
        <w:t>为提高教学质量和学习效果，各专业课程学</w:t>
      </w:r>
      <w:r>
        <w:rPr>
          <w:rFonts w:hint="eastAsia" w:ascii="宋体" w:hAnsi="宋体" w:cs="Segoe UI"/>
          <w:kern w:val="0"/>
          <w:sz w:val="24"/>
          <w:lang w:val="en-US" w:eastAsia="zh-CN"/>
        </w:rPr>
        <w:t>院</w:t>
      </w:r>
      <w:r>
        <w:rPr>
          <w:rFonts w:hint="eastAsia" w:ascii="宋体" w:hAnsi="宋体" w:cs="Segoe UI"/>
          <w:kern w:val="0"/>
          <w:sz w:val="24"/>
        </w:rPr>
        <w:t>以小班教学为主，每班学生50人左右。对于通识课、公共课等，为合理充分利用资源，学</w:t>
      </w:r>
      <w:r>
        <w:rPr>
          <w:rFonts w:hint="eastAsia" w:ascii="宋体" w:hAnsi="宋体" w:cs="Segoe UI"/>
          <w:kern w:val="0"/>
          <w:sz w:val="24"/>
          <w:lang w:val="en-US" w:eastAsia="zh-CN"/>
        </w:rPr>
        <w:t>院</w:t>
      </w:r>
      <w:r>
        <w:rPr>
          <w:rFonts w:hint="eastAsia" w:ascii="宋体" w:hAnsi="宋体" w:cs="Segoe UI"/>
          <w:kern w:val="0"/>
          <w:sz w:val="24"/>
        </w:rPr>
        <w:t>进行统筹安排，酌情予以合班上课。</w:t>
      </w:r>
      <w:r>
        <w:rPr>
          <w:rFonts w:hint="eastAsia" w:ascii="宋体" w:hAnsi="宋体"/>
          <w:sz w:val="24"/>
        </w:rPr>
        <w:t xml:space="preserve"> </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firstLine="482" w:firstLineChars="200"/>
        <w:textAlignment w:val="auto"/>
        <w:rPr>
          <w:rFonts w:hint="eastAsia"/>
          <w:b/>
        </w:rPr>
      </w:pPr>
      <w:r>
        <w:rPr>
          <w:rFonts w:hint="eastAsia"/>
          <w:b/>
        </w:rPr>
        <w:t>学校人才培养的中心地位及落实情况</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firstLine="480" w:firstLineChars="200"/>
        <w:textAlignment w:val="auto"/>
        <w:rPr>
          <w:rFonts w:hint="eastAsia"/>
          <w:b/>
        </w:rPr>
      </w:pPr>
      <w:r>
        <w:rPr>
          <w:rFonts w:hint="eastAsia"/>
        </w:rPr>
        <w:t>把人才培养质量作为学校各项工作的中心，明确专业人才目标，制定专业人才培养标准，鼓励与督促教师投身教学，以教育教学改革研究促进教学，落实各项制度和措施保障教学，以管理服务教学。对既往教育教学管理文件进行修订，树立教师岗位责任意识，采取多项措施，提升教师、尤其是中青年教师的教育教学水平，在教师中宣传新的教育教学理念，推广新的教学方法与手段，通过教师讲课比赛等多种形式，在教师中形成积极进取，以提高教学质量为荣的良好氛围。</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firstLine="482" w:firstLineChars="200"/>
        <w:textAlignment w:val="auto"/>
        <w:rPr>
          <w:rFonts w:hint="eastAsia"/>
          <w:b/>
        </w:rPr>
      </w:pPr>
      <w:r>
        <w:rPr>
          <w:rFonts w:hint="eastAsia"/>
          <w:b/>
        </w:rPr>
        <w:t>学校在本科教育教学工作中的特色和经验</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firstLine="480" w:firstLineChars="200"/>
        <w:textAlignment w:val="auto"/>
        <w:rPr>
          <w:rFonts w:hint="eastAsia"/>
        </w:rPr>
      </w:pPr>
      <w:r>
        <w:rPr>
          <w:rFonts w:hint="eastAsia"/>
        </w:rPr>
        <w:t>1、始终把本科教学作为全</w:t>
      </w:r>
      <w:r>
        <w:rPr>
          <w:rFonts w:hint="eastAsia"/>
          <w:lang w:val="en-US" w:eastAsia="zh-CN"/>
        </w:rPr>
        <w:t>院</w:t>
      </w:r>
      <w:r>
        <w:rPr>
          <w:rFonts w:hint="eastAsia"/>
        </w:rPr>
        <w:t>各项工作的中心，牢固树立了教育教学工作的中心地位。</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firstLine="480" w:firstLineChars="200"/>
        <w:textAlignment w:val="auto"/>
        <w:rPr>
          <w:rFonts w:hint="eastAsia"/>
        </w:rPr>
      </w:pPr>
      <w:r>
        <w:rPr>
          <w:rFonts w:hint="eastAsia"/>
        </w:rPr>
        <w:t>2、积极转变教育教学观念，勇于探索，注重师生互动、教学相长。</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firstLine="480" w:firstLineChars="200"/>
        <w:textAlignment w:val="auto"/>
        <w:rPr>
          <w:rFonts w:hint="eastAsia"/>
          <w:b/>
        </w:rPr>
      </w:pPr>
      <w:r>
        <w:rPr>
          <w:rFonts w:hint="eastAsia"/>
        </w:rPr>
        <w:t>3、坚持举办教师讲课比赛，把讲好课，作为对高校教师的基本要求。</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firstLine="482" w:firstLineChars="200"/>
        <w:textAlignment w:val="auto"/>
        <w:rPr>
          <w:rFonts w:hint="eastAsia"/>
          <w:b/>
        </w:rPr>
      </w:pPr>
      <w:r>
        <w:rPr>
          <w:rFonts w:hint="eastAsia"/>
          <w:b/>
        </w:rPr>
        <w:t>影响教学质量的主要问题、原因、解决问题的措施和建议</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firstLine="480" w:firstLineChars="200"/>
        <w:textAlignment w:val="auto"/>
        <w:rPr>
          <w:rFonts w:hint="eastAsia"/>
          <w:b/>
        </w:rPr>
      </w:pPr>
      <w:r>
        <w:rPr>
          <w:rFonts w:hint="eastAsia"/>
        </w:rPr>
        <w:t>1、学风问题突出，存在学习目标不明确、学习态度不端正、学习习惯不良等问题，针对这些问题，要加强引导学生兴趣，增强学生责任感与使命感，在学</w:t>
      </w:r>
      <w:r>
        <w:rPr>
          <w:rFonts w:hint="eastAsia"/>
          <w:lang w:val="en-US" w:eastAsia="zh-CN"/>
        </w:rPr>
        <w:t>院</w:t>
      </w:r>
      <w:r>
        <w:rPr>
          <w:rFonts w:hint="eastAsia"/>
        </w:rPr>
        <w:t>形成良好的学习氛围，让由被动学习变为主动学习，充分发挥学生学习的主动性与积极性。</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firstLine="480" w:firstLineChars="200"/>
        <w:textAlignment w:val="auto"/>
        <w:rPr>
          <w:rFonts w:hint="eastAsia"/>
          <w:b/>
        </w:rPr>
      </w:pPr>
      <w:r>
        <w:rPr>
          <w:rFonts w:hint="eastAsia"/>
        </w:rPr>
        <w:t>2、教师对新的教学改革方法的理解和实际操作能力尚不足，如对PBL、CBL等教学方法是什么，怎样做等概念尚模糊，学</w:t>
      </w:r>
      <w:r>
        <w:rPr>
          <w:rFonts w:hint="eastAsia"/>
          <w:lang w:val="en-US" w:eastAsia="zh-CN"/>
        </w:rPr>
        <w:t>院</w:t>
      </w:r>
      <w:r>
        <w:rPr>
          <w:rFonts w:hint="eastAsia"/>
        </w:rPr>
        <w:t>要加强对新的教育教学改革方法的培训，由有经验的老师、专家等对普通教师进行指导。</w:t>
      </w:r>
    </w:p>
    <w:p>
      <w:pPr>
        <w:keepNext w:val="0"/>
        <w:keepLines w:val="0"/>
        <w:pageBreakBefore w:val="0"/>
        <w:kinsoku/>
        <w:wordWrap/>
        <w:overflowPunct/>
        <w:topLinePunct w:val="0"/>
        <w:autoSpaceDE/>
        <w:autoSpaceDN/>
        <w:bidi w:val="0"/>
        <w:adjustRightInd/>
        <w:snapToGrid/>
        <w:spacing w:line="400" w:lineRule="exact"/>
        <w:ind w:left="0" w:firstLine="482" w:firstLineChars="200"/>
        <w:jc w:val="left"/>
        <w:textAlignment w:val="auto"/>
        <w:rPr>
          <w:rFonts w:hint="eastAsia" w:ascii="宋体" w:hAnsi="宋体"/>
          <w:b/>
          <w:sz w:val="24"/>
        </w:rPr>
      </w:pPr>
      <w:r>
        <w:rPr>
          <w:rFonts w:hint="eastAsia" w:ascii="宋体" w:hAnsi="宋体"/>
          <w:b/>
          <w:sz w:val="24"/>
        </w:rPr>
        <w:t>信息资源及应用情况</w:t>
      </w:r>
    </w:p>
    <w:p>
      <w:pPr>
        <w:keepNext w:val="0"/>
        <w:keepLines w:val="0"/>
        <w:pageBreakBefore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cs="仿宋"/>
          <w:sz w:val="24"/>
        </w:rPr>
      </w:pPr>
      <w:r>
        <w:rPr>
          <w:rFonts w:hint="eastAsia" w:ascii="宋体" w:hAnsi="宋体" w:cs="仿宋"/>
          <w:sz w:val="24"/>
        </w:rPr>
        <w:t>随着互联网和大数据时代的来临，高校教学管理信息化的发展也将迎来一个新的发展机遇。长期以来，围绕“如何加强教学管理信息化、规范化和科学化”的建设，我</w:t>
      </w:r>
      <w:r>
        <w:rPr>
          <w:rFonts w:hint="eastAsia" w:ascii="宋体" w:hAnsi="宋体" w:cs="仿宋"/>
          <w:sz w:val="24"/>
          <w:lang w:val="en-US" w:eastAsia="zh-CN"/>
        </w:rPr>
        <w:t>院</w:t>
      </w:r>
      <w:r>
        <w:rPr>
          <w:rFonts w:hint="eastAsia" w:ascii="宋体" w:hAnsi="宋体" w:cs="仿宋"/>
          <w:sz w:val="24"/>
        </w:rPr>
        <w:t>一直在不断进行新的尝试和探索。我</w:t>
      </w:r>
      <w:r>
        <w:rPr>
          <w:rFonts w:hint="eastAsia" w:ascii="宋体" w:hAnsi="宋体" w:cs="仿宋"/>
          <w:sz w:val="24"/>
          <w:lang w:val="en-US" w:eastAsia="zh-CN"/>
        </w:rPr>
        <w:t>院</w:t>
      </w:r>
      <w:r>
        <w:rPr>
          <w:rFonts w:hint="eastAsia" w:ascii="宋体" w:hAnsi="宋体" w:cs="仿宋"/>
          <w:sz w:val="24"/>
        </w:rPr>
        <w:t>教学管理网站自建立以来，根据学</w:t>
      </w:r>
      <w:r>
        <w:rPr>
          <w:rFonts w:hint="eastAsia" w:ascii="宋体" w:hAnsi="宋体" w:cs="仿宋"/>
          <w:sz w:val="24"/>
          <w:lang w:val="en-US" w:eastAsia="zh-CN"/>
        </w:rPr>
        <w:t>院</w:t>
      </w:r>
      <w:r>
        <w:rPr>
          <w:rFonts w:hint="eastAsia" w:ascii="宋体" w:hAnsi="宋体" w:cs="仿宋"/>
          <w:sz w:val="24"/>
        </w:rPr>
        <w:t>教学工作的实际情况，委派相关管理人员积极的维护与更新，保证教务管理平台的高效运行，最大限度地方便了全</w:t>
      </w:r>
      <w:r>
        <w:rPr>
          <w:rFonts w:hint="eastAsia" w:ascii="宋体" w:hAnsi="宋体" w:cs="仿宋"/>
          <w:sz w:val="24"/>
          <w:lang w:val="en-US" w:eastAsia="zh-CN"/>
        </w:rPr>
        <w:t>院</w:t>
      </w:r>
      <w:r>
        <w:rPr>
          <w:rFonts w:hint="eastAsia" w:ascii="宋体" w:hAnsi="宋体" w:cs="仿宋"/>
          <w:sz w:val="24"/>
        </w:rPr>
        <w:t>师生对教务信息的查询及教学意见反馈等。同时，网站的正式运行对宣传我</w:t>
      </w:r>
      <w:r>
        <w:rPr>
          <w:rFonts w:hint="eastAsia" w:ascii="宋体" w:hAnsi="宋体" w:cs="仿宋"/>
          <w:sz w:val="24"/>
          <w:lang w:val="en-US" w:eastAsia="zh-CN"/>
        </w:rPr>
        <w:t>院</w:t>
      </w:r>
      <w:r>
        <w:rPr>
          <w:rFonts w:hint="eastAsia" w:ascii="宋体" w:hAnsi="宋体" w:cs="仿宋"/>
          <w:sz w:val="24"/>
        </w:rPr>
        <w:t>形象、提高我</w:t>
      </w:r>
      <w:r>
        <w:rPr>
          <w:rFonts w:hint="eastAsia" w:ascii="宋体" w:hAnsi="宋体" w:cs="仿宋"/>
          <w:sz w:val="24"/>
          <w:lang w:val="en-US" w:eastAsia="zh-CN"/>
        </w:rPr>
        <w:t>院</w:t>
      </w:r>
      <w:r>
        <w:rPr>
          <w:rFonts w:hint="eastAsia" w:ascii="宋体" w:hAnsi="宋体" w:cs="仿宋"/>
          <w:sz w:val="24"/>
        </w:rPr>
        <w:t xml:space="preserve">知名度和声誉度等方面都发挥了举足轻重的作用。   </w:t>
      </w:r>
    </w:p>
    <w:p>
      <w:pPr>
        <w:keepNext w:val="0"/>
        <w:keepLines w:val="0"/>
        <w:pageBreakBefore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cs="仿宋"/>
          <w:sz w:val="24"/>
        </w:rPr>
      </w:pPr>
      <w:r>
        <w:rPr>
          <w:rFonts w:hint="eastAsia" w:ascii="宋体" w:hAnsi="宋体" w:cs="仿宋"/>
          <w:sz w:val="24"/>
        </w:rPr>
        <w:t>201</w:t>
      </w:r>
      <w:r>
        <w:rPr>
          <w:rFonts w:hint="eastAsia" w:ascii="宋体" w:hAnsi="宋体" w:cs="仿宋"/>
          <w:sz w:val="24"/>
          <w:lang w:val="en-US" w:eastAsia="zh-CN"/>
        </w:rPr>
        <w:t>7</w:t>
      </w:r>
      <w:r>
        <w:rPr>
          <w:rFonts w:hint="eastAsia" w:ascii="宋体" w:hAnsi="宋体" w:cs="仿宋"/>
          <w:sz w:val="24"/>
        </w:rPr>
        <w:t>年，在教务管理平台和网络教学平台方面主要开展了以下工作：</w:t>
      </w:r>
    </w:p>
    <w:p>
      <w:pPr>
        <w:keepNext w:val="0"/>
        <w:keepLines w:val="0"/>
        <w:pageBreakBefore w:val="0"/>
        <w:kinsoku/>
        <w:wordWrap/>
        <w:overflowPunct/>
        <w:topLinePunct w:val="0"/>
        <w:autoSpaceDE/>
        <w:autoSpaceDN/>
        <w:bidi w:val="0"/>
        <w:adjustRightInd/>
        <w:snapToGrid/>
        <w:spacing w:line="400" w:lineRule="exact"/>
        <w:ind w:left="0" w:firstLine="480" w:firstLineChars="200"/>
        <w:textAlignment w:val="auto"/>
        <w:rPr>
          <w:rFonts w:ascii="宋体" w:hAnsi="宋体" w:cs="华文仿宋"/>
          <w:sz w:val="24"/>
        </w:rPr>
      </w:pPr>
      <w:r>
        <w:rPr>
          <w:rFonts w:hint="eastAsia" w:ascii="宋体" w:hAnsi="宋体" w:cs="仿宋"/>
          <w:sz w:val="24"/>
        </w:rPr>
        <w:t xml:space="preserve">     一、新的教务管理系统运行平稳，并开通了微信公众号。</w:t>
      </w:r>
      <w:r>
        <w:rPr>
          <w:rFonts w:ascii="宋体" w:hAnsi="宋体" w:cs="仿宋"/>
          <w:sz w:val="24"/>
        </w:rPr>
        <w:br w:type="textWrapping"/>
      </w:r>
      <w:r>
        <w:rPr>
          <w:rFonts w:hint="eastAsia" w:ascii="宋体" w:hAnsi="宋体" w:cs="华文仿宋"/>
          <w:sz w:val="24"/>
        </w:rPr>
        <w:t xml:space="preserve">    二、以</w:t>
      </w:r>
      <w:r>
        <w:rPr>
          <w:rFonts w:ascii="宋体" w:hAnsi="宋体" w:cs="华文仿宋"/>
          <w:sz w:val="24"/>
        </w:rPr>
        <w:t>教学管理办公室网站</w:t>
      </w:r>
      <w:r>
        <w:rPr>
          <w:rFonts w:hint="eastAsia" w:ascii="宋体" w:hAnsi="宋体" w:cs="华文仿宋"/>
          <w:sz w:val="24"/>
        </w:rPr>
        <w:t>为依托</w:t>
      </w:r>
      <w:r>
        <w:rPr>
          <w:rFonts w:ascii="宋体" w:hAnsi="宋体" w:cs="华文仿宋"/>
          <w:sz w:val="24"/>
        </w:rPr>
        <w:t>，</w:t>
      </w:r>
      <w:r>
        <w:rPr>
          <w:rFonts w:hint="eastAsia" w:ascii="宋体" w:hAnsi="宋体" w:cs="华文仿宋"/>
          <w:sz w:val="24"/>
        </w:rPr>
        <w:t>推进教务管理各环节与信息化的深度融合</w:t>
      </w:r>
      <w:r>
        <w:rPr>
          <w:rFonts w:ascii="宋体" w:hAnsi="宋体" w:cs="华文仿宋"/>
          <w:sz w:val="24"/>
        </w:rPr>
        <w:t>。</w:t>
      </w:r>
    </w:p>
    <w:p>
      <w:pPr>
        <w:keepNext w:val="0"/>
        <w:keepLines w:val="0"/>
        <w:pageBreakBefore w:val="0"/>
        <w:kinsoku/>
        <w:wordWrap/>
        <w:overflowPunct/>
        <w:topLinePunct w:val="0"/>
        <w:autoSpaceDE/>
        <w:autoSpaceDN/>
        <w:bidi w:val="0"/>
        <w:adjustRightInd/>
        <w:snapToGrid/>
        <w:spacing w:line="400" w:lineRule="exact"/>
        <w:ind w:left="0" w:firstLine="480" w:firstLineChars="200"/>
        <w:textAlignment w:val="auto"/>
        <w:rPr>
          <w:rFonts w:ascii="宋体" w:hAnsi="宋体" w:cs="华文仿宋"/>
          <w:sz w:val="24"/>
        </w:rPr>
      </w:pPr>
      <w:r>
        <w:rPr>
          <w:rFonts w:hint="eastAsia" w:ascii="宋体" w:hAnsi="宋体" w:cs="华文仿宋"/>
          <w:sz w:val="24"/>
          <w:lang w:val="en-US" w:eastAsia="zh-CN"/>
        </w:rPr>
        <w:t>三</w:t>
      </w:r>
      <w:r>
        <w:rPr>
          <w:rFonts w:hint="eastAsia" w:ascii="宋体" w:hAnsi="宋体" w:cs="华文仿宋"/>
          <w:sz w:val="24"/>
        </w:rPr>
        <w:t>、与超星尔雅公司和上海智慧树公司</w:t>
      </w:r>
      <w:r>
        <w:rPr>
          <w:rFonts w:ascii="宋体" w:hAnsi="宋体" w:cs="华文仿宋"/>
          <w:sz w:val="24"/>
        </w:rPr>
        <w:t>合作，</w:t>
      </w:r>
      <w:r>
        <w:rPr>
          <w:rFonts w:hint="eastAsia" w:ascii="宋体" w:hAnsi="宋体" w:cs="华文仿宋"/>
          <w:sz w:val="24"/>
        </w:rPr>
        <w:t>开设多门网络通识课程，让广大师生可以通过</w:t>
      </w:r>
      <w:r>
        <w:rPr>
          <w:rFonts w:ascii="宋体" w:hAnsi="宋体" w:cs="华文仿宋"/>
          <w:sz w:val="24"/>
        </w:rPr>
        <w:t>网络平台</w:t>
      </w:r>
      <w:r>
        <w:rPr>
          <w:rFonts w:hint="eastAsia" w:ascii="宋体" w:hAnsi="宋体" w:cs="华文仿宋"/>
          <w:sz w:val="24"/>
        </w:rPr>
        <w:t>获取更多更好的学习资源。</w:t>
      </w:r>
    </w:p>
    <w:p>
      <w:pPr>
        <w:keepNext w:val="0"/>
        <w:keepLines w:val="0"/>
        <w:pageBreakBefore w:val="0"/>
        <w:kinsoku/>
        <w:wordWrap/>
        <w:overflowPunct/>
        <w:topLinePunct w:val="0"/>
        <w:autoSpaceDE/>
        <w:autoSpaceDN/>
        <w:bidi w:val="0"/>
        <w:adjustRightInd/>
        <w:snapToGrid/>
        <w:spacing w:line="400" w:lineRule="exact"/>
        <w:ind w:left="0" w:firstLine="480" w:firstLineChars="200"/>
        <w:textAlignment w:val="auto"/>
        <w:rPr>
          <w:rFonts w:ascii="宋体" w:hAnsi="宋体" w:cs="华文仿宋"/>
          <w:sz w:val="24"/>
        </w:rPr>
      </w:pPr>
      <w:r>
        <w:rPr>
          <w:rFonts w:ascii="宋体" w:hAnsi="宋体" w:cs="华文仿宋"/>
          <w:sz w:val="24"/>
        </w:rPr>
        <w:t>目前</w:t>
      </w:r>
      <w:r>
        <w:rPr>
          <w:rFonts w:hint="eastAsia" w:ascii="宋体" w:hAnsi="宋体" w:cs="华文仿宋"/>
          <w:sz w:val="24"/>
        </w:rPr>
        <w:t>，</w:t>
      </w:r>
      <w:r>
        <w:rPr>
          <w:rFonts w:ascii="宋体" w:hAnsi="宋体" w:cs="华文仿宋"/>
          <w:sz w:val="24"/>
        </w:rPr>
        <w:t>教务网站实现的功能主要体现在：</w:t>
      </w:r>
    </w:p>
    <w:p>
      <w:pPr>
        <w:keepNext w:val="0"/>
        <w:keepLines w:val="0"/>
        <w:pageBreakBefore w:val="0"/>
        <w:kinsoku/>
        <w:wordWrap/>
        <w:overflowPunct/>
        <w:topLinePunct w:val="0"/>
        <w:autoSpaceDE/>
        <w:autoSpaceDN/>
        <w:bidi w:val="0"/>
        <w:adjustRightInd/>
        <w:snapToGrid/>
        <w:spacing w:line="400" w:lineRule="exact"/>
        <w:ind w:left="0" w:firstLine="480" w:firstLineChars="200"/>
        <w:textAlignment w:val="auto"/>
        <w:rPr>
          <w:rFonts w:ascii="宋体" w:hAnsi="宋体" w:cs="华文仿宋"/>
          <w:sz w:val="24"/>
        </w:rPr>
      </w:pPr>
      <w:r>
        <w:rPr>
          <w:rFonts w:ascii="宋体" w:hAnsi="宋体" w:cs="华文仿宋"/>
          <w:sz w:val="24"/>
        </w:rPr>
        <w:t>1、在教务首页可通过</w:t>
      </w:r>
      <w:r>
        <w:rPr>
          <w:rFonts w:hint="eastAsia" w:ascii="宋体" w:hAnsi="宋体" w:cs="华文仿宋"/>
          <w:sz w:val="24"/>
        </w:rPr>
        <w:t>下载中心，点击</w:t>
      </w:r>
      <w:r>
        <w:rPr>
          <w:rFonts w:ascii="宋体" w:hAnsi="宋体" w:cs="华文仿宋"/>
          <w:sz w:val="24"/>
        </w:rPr>
        <w:t>“教学任务安排”按钮</w:t>
      </w:r>
      <w:r>
        <w:rPr>
          <w:rFonts w:hint="eastAsia" w:ascii="宋体" w:hAnsi="宋体" w:cs="华文仿宋"/>
          <w:sz w:val="24"/>
        </w:rPr>
        <w:t>下载</w:t>
      </w:r>
      <w:r>
        <w:rPr>
          <w:rFonts w:ascii="宋体" w:hAnsi="宋体" w:cs="华文仿宋"/>
          <w:sz w:val="24"/>
        </w:rPr>
        <w:t>当前学期各年级、专业教学任务，教学计划，课程表，学</w:t>
      </w:r>
      <w:r>
        <w:rPr>
          <w:rFonts w:hint="eastAsia" w:ascii="宋体" w:hAnsi="宋体" w:cs="华文仿宋"/>
          <w:sz w:val="24"/>
          <w:lang w:val="en-US" w:eastAsia="zh-CN"/>
        </w:rPr>
        <w:t>院</w:t>
      </w:r>
      <w:r>
        <w:rPr>
          <w:rFonts w:ascii="宋体" w:hAnsi="宋体" w:cs="华文仿宋"/>
          <w:sz w:val="24"/>
        </w:rPr>
        <w:t>校历等。该模块每学期点击量均很高，师生使用频繁，使我</w:t>
      </w:r>
      <w:r>
        <w:rPr>
          <w:rFonts w:hint="eastAsia" w:ascii="宋体" w:hAnsi="宋体" w:cs="华文仿宋"/>
          <w:sz w:val="24"/>
          <w:lang w:val="en-US" w:eastAsia="zh-CN"/>
        </w:rPr>
        <w:t>院</w:t>
      </w:r>
      <w:r>
        <w:rPr>
          <w:rFonts w:ascii="宋体" w:hAnsi="宋体" w:cs="华文仿宋"/>
          <w:sz w:val="24"/>
        </w:rPr>
        <w:t>教学任务的下达、课程表的查询方便、快捷、准确，做到了教学管理的信息化、规范化、制度化以及透明化。</w:t>
      </w:r>
    </w:p>
    <w:p>
      <w:pPr>
        <w:keepNext w:val="0"/>
        <w:keepLines w:val="0"/>
        <w:pageBreakBefore w:val="0"/>
        <w:kinsoku/>
        <w:wordWrap/>
        <w:overflowPunct/>
        <w:topLinePunct w:val="0"/>
        <w:autoSpaceDE/>
        <w:autoSpaceDN/>
        <w:bidi w:val="0"/>
        <w:adjustRightInd/>
        <w:snapToGrid/>
        <w:spacing w:line="400" w:lineRule="exact"/>
        <w:ind w:left="0" w:firstLine="480" w:firstLineChars="200"/>
        <w:textAlignment w:val="auto"/>
        <w:rPr>
          <w:rFonts w:ascii="宋体" w:hAnsi="宋体" w:cs="华文仿宋"/>
          <w:sz w:val="24"/>
        </w:rPr>
      </w:pPr>
      <w:r>
        <w:rPr>
          <w:rFonts w:ascii="宋体" w:hAnsi="宋体" w:cs="华文仿宋"/>
          <w:sz w:val="24"/>
        </w:rPr>
        <w:t>2、在教务首页的整体布局方面，我们在最直观处设立了较为醒目的“最新消息”栏，教务网站发布的新消息将按条数在本栏闪烁显示，以方便访问者根据时间段查找内容。“最新消息”栏目涵盖了我</w:t>
      </w:r>
      <w:r>
        <w:rPr>
          <w:rFonts w:hint="eastAsia" w:ascii="宋体" w:hAnsi="宋体" w:cs="华文仿宋"/>
          <w:sz w:val="24"/>
          <w:lang w:val="en-US" w:eastAsia="zh-CN"/>
        </w:rPr>
        <w:t>院</w:t>
      </w:r>
      <w:r>
        <w:rPr>
          <w:rFonts w:ascii="宋体" w:hAnsi="宋体" w:cs="华文仿宋"/>
          <w:sz w:val="24"/>
        </w:rPr>
        <w:t>最新发生的教务相关各种通知、安排等，使教务相关最新信息能够以最快速、有效的方式传达</w:t>
      </w:r>
      <w:r>
        <w:rPr>
          <w:rFonts w:hint="eastAsia" w:ascii="宋体" w:hAnsi="宋体" w:cs="华文仿宋"/>
          <w:sz w:val="24"/>
        </w:rPr>
        <w:t>给</w:t>
      </w:r>
      <w:r>
        <w:rPr>
          <w:rFonts w:ascii="宋体" w:hAnsi="宋体" w:cs="华文仿宋"/>
          <w:sz w:val="24"/>
        </w:rPr>
        <w:t>相关师生。</w:t>
      </w:r>
    </w:p>
    <w:p>
      <w:pPr>
        <w:keepNext w:val="0"/>
        <w:keepLines w:val="0"/>
        <w:pageBreakBefore w:val="0"/>
        <w:kinsoku/>
        <w:wordWrap/>
        <w:overflowPunct/>
        <w:topLinePunct w:val="0"/>
        <w:autoSpaceDE/>
        <w:autoSpaceDN/>
        <w:bidi w:val="0"/>
        <w:adjustRightInd/>
        <w:snapToGrid/>
        <w:spacing w:line="400" w:lineRule="exact"/>
        <w:ind w:left="0" w:firstLine="480" w:firstLineChars="200"/>
        <w:textAlignment w:val="auto"/>
        <w:rPr>
          <w:rFonts w:ascii="宋体" w:hAnsi="宋体" w:cs="华文仿宋"/>
          <w:sz w:val="24"/>
        </w:rPr>
      </w:pPr>
      <w:r>
        <w:rPr>
          <w:rFonts w:ascii="宋体" w:hAnsi="宋体" w:cs="华文仿宋"/>
          <w:sz w:val="24"/>
        </w:rPr>
        <w:t>3、由于教学管理办公室是学</w:t>
      </w:r>
      <w:r>
        <w:rPr>
          <w:rFonts w:hint="eastAsia" w:ascii="宋体" w:hAnsi="宋体" w:cs="华文仿宋"/>
          <w:sz w:val="24"/>
          <w:lang w:val="en-US" w:eastAsia="zh-CN"/>
        </w:rPr>
        <w:t>院</w:t>
      </w:r>
      <w:r>
        <w:rPr>
          <w:rFonts w:ascii="宋体" w:hAnsi="宋体" w:cs="华文仿宋"/>
          <w:sz w:val="24"/>
        </w:rPr>
        <w:t>教学运转的核心部门，所涉及到的内容较多，所以，教务网站发布的众多栏目主要集成到了教务网站的菜单栏。目前，菜单栏一级标题主要有以下几个：1、信息公开；2、规章制度；3、教务快讯；4、考务信息；5、质量保证；6、实践教学；7、教材建设；8、学生之家；9、下载中心；10、教务支部；11、在线留言。以上一级标题涵盖了我</w:t>
      </w:r>
      <w:r>
        <w:rPr>
          <w:rFonts w:hint="eastAsia" w:ascii="宋体" w:hAnsi="宋体" w:cs="华文仿宋"/>
          <w:sz w:val="24"/>
          <w:lang w:val="en-US" w:eastAsia="zh-CN"/>
        </w:rPr>
        <w:t>院</w:t>
      </w:r>
      <w:r>
        <w:rPr>
          <w:rFonts w:ascii="宋体" w:hAnsi="宋体" w:cs="华文仿宋"/>
          <w:sz w:val="24"/>
        </w:rPr>
        <w:t>教学管理的多个方面，查询方便，使用率高。</w:t>
      </w:r>
    </w:p>
    <w:p>
      <w:pPr>
        <w:keepNext w:val="0"/>
        <w:keepLines w:val="0"/>
        <w:pageBreakBefore w:val="0"/>
        <w:kinsoku/>
        <w:wordWrap/>
        <w:overflowPunct/>
        <w:topLinePunct w:val="0"/>
        <w:autoSpaceDE/>
        <w:autoSpaceDN/>
        <w:bidi w:val="0"/>
        <w:adjustRightInd/>
        <w:snapToGrid/>
        <w:spacing w:line="400" w:lineRule="exact"/>
        <w:ind w:left="0" w:firstLine="480" w:firstLineChars="200"/>
        <w:textAlignment w:val="auto"/>
        <w:rPr>
          <w:rFonts w:ascii="宋体" w:hAnsi="宋体" w:cs="华文仿宋"/>
          <w:sz w:val="24"/>
        </w:rPr>
      </w:pPr>
      <w:r>
        <w:rPr>
          <w:rFonts w:ascii="宋体" w:hAnsi="宋体" w:cs="华文仿宋"/>
          <w:sz w:val="24"/>
        </w:rPr>
        <w:t>我</w:t>
      </w:r>
      <w:r>
        <w:rPr>
          <w:rFonts w:hint="eastAsia" w:ascii="宋体" w:hAnsi="宋体" w:cs="华文仿宋"/>
          <w:sz w:val="24"/>
          <w:lang w:val="en-US" w:eastAsia="zh-CN"/>
        </w:rPr>
        <w:t>院</w:t>
      </w:r>
      <w:r>
        <w:rPr>
          <w:rFonts w:ascii="宋体" w:hAnsi="宋体" w:cs="华文仿宋"/>
          <w:sz w:val="24"/>
        </w:rPr>
        <w:t>也积极推动网络课程的建设，邀请相关公司专业</w:t>
      </w:r>
      <w:r>
        <w:rPr>
          <w:rFonts w:hint="eastAsia" w:ascii="宋体" w:hAnsi="宋体" w:cs="华文仿宋"/>
          <w:sz w:val="24"/>
        </w:rPr>
        <w:t>技术</w:t>
      </w:r>
      <w:r>
        <w:rPr>
          <w:rFonts w:ascii="宋体" w:hAnsi="宋体" w:cs="华文仿宋"/>
          <w:sz w:val="24"/>
        </w:rPr>
        <w:t>人员对我</w:t>
      </w:r>
      <w:r>
        <w:rPr>
          <w:rFonts w:hint="eastAsia" w:ascii="宋体" w:hAnsi="宋体" w:cs="华文仿宋"/>
          <w:sz w:val="24"/>
          <w:lang w:val="en-US" w:eastAsia="zh-CN"/>
        </w:rPr>
        <w:t>院</w:t>
      </w:r>
      <w:r>
        <w:rPr>
          <w:rFonts w:ascii="宋体" w:hAnsi="宋体" w:cs="华文仿宋"/>
          <w:sz w:val="24"/>
        </w:rPr>
        <w:t>师生进行网络课程的培训，使我</w:t>
      </w:r>
      <w:r>
        <w:rPr>
          <w:rFonts w:hint="eastAsia" w:ascii="宋体" w:hAnsi="宋体" w:cs="华文仿宋"/>
          <w:sz w:val="24"/>
          <w:lang w:val="en-US" w:eastAsia="zh-CN"/>
        </w:rPr>
        <w:t>院</w:t>
      </w:r>
      <w:r>
        <w:rPr>
          <w:rFonts w:ascii="宋体" w:hAnsi="宋体" w:cs="华文仿宋"/>
          <w:sz w:val="24"/>
        </w:rPr>
        <w:t>师生认识网络课程、使用网络课程，并积极参与建设新形势下的网络通识课程。我</w:t>
      </w:r>
      <w:r>
        <w:rPr>
          <w:rFonts w:hint="eastAsia" w:ascii="宋体" w:hAnsi="宋体" w:cs="华文仿宋"/>
          <w:sz w:val="24"/>
          <w:lang w:val="en-US" w:eastAsia="zh-CN"/>
        </w:rPr>
        <w:t>院</w:t>
      </w:r>
      <w:r>
        <w:rPr>
          <w:rFonts w:ascii="宋体" w:hAnsi="宋体" w:cs="华文仿宋"/>
          <w:sz w:val="24"/>
        </w:rPr>
        <w:t>将进一步推进我</w:t>
      </w:r>
      <w:r>
        <w:rPr>
          <w:rFonts w:hint="eastAsia" w:ascii="宋体" w:hAnsi="宋体" w:cs="华文仿宋"/>
          <w:sz w:val="24"/>
          <w:lang w:val="en-US" w:eastAsia="zh-CN"/>
        </w:rPr>
        <w:t>院</w:t>
      </w:r>
      <w:r>
        <w:rPr>
          <w:rFonts w:ascii="宋体" w:hAnsi="宋体" w:cs="华文仿宋"/>
          <w:sz w:val="24"/>
        </w:rPr>
        <w:t>网络平台学习课程的建设，并建设我</w:t>
      </w:r>
      <w:r>
        <w:rPr>
          <w:rFonts w:hint="eastAsia" w:ascii="宋体" w:hAnsi="宋体" w:cs="华文仿宋"/>
          <w:sz w:val="24"/>
          <w:lang w:val="en-US" w:eastAsia="zh-CN"/>
        </w:rPr>
        <w:t>院</w:t>
      </w:r>
      <w:r>
        <w:rPr>
          <w:rFonts w:ascii="宋体" w:hAnsi="宋体" w:cs="华文仿宋"/>
          <w:sz w:val="24"/>
        </w:rPr>
        <w:t>自己的网络课程体系。</w:t>
      </w:r>
    </w:p>
    <w:p>
      <w:pPr>
        <w:keepNext w:val="0"/>
        <w:keepLines w:val="0"/>
        <w:pageBreakBefore w:val="0"/>
        <w:kinsoku/>
        <w:wordWrap/>
        <w:overflowPunct/>
        <w:topLinePunct w:val="0"/>
        <w:autoSpaceDE/>
        <w:autoSpaceDN/>
        <w:bidi w:val="0"/>
        <w:adjustRightInd/>
        <w:snapToGrid/>
        <w:spacing w:line="400" w:lineRule="exact"/>
        <w:ind w:left="0" w:firstLine="480" w:firstLineChars="200"/>
        <w:textAlignment w:val="auto"/>
        <w:rPr>
          <w:rFonts w:ascii="宋体" w:hAnsi="宋体" w:cs="华文仿宋"/>
          <w:sz w:val="24"/>
        </w:rPr>
      </w:pPr>
      <w:r>
        <w:rPr>
          <w:rFonts w:ascii="宋体" w:hAnsi="宋体" w:cs="华文仿宋"/>
          <w:sz w:val="24"/>
        </w:rPr>
        <w:t>4、充分利用国家信息管理平台，如中国高等教育学生信息网、大学生诚信管理网等。</w:t>
      </w:r>
    </w:p>
    <w:p>
      <w:pPr>
        <w:keepNext w:val="0"/>
        <w:keepLines w:val="0"/>
        <w:pageBreakBefore w:val="0"/>
        <w:kinsoku/>
        <w:wordWrap/>
        <w:overflowPunct/>
        <w:topLinePunct w:val="0"/>
        <w:autoSpaceDE/>
        <w:autoSpaceDN/>
        <w:bidi w:val="0"/>
        <w:adjustRightInd/>
        <w:snapToGrid/>
        <w:spacing w:line="400" w:lineRule="exact"/>
        <w:ind w:left="0" w:firstLine="480" w:firstLineChars="200"/>
        <w:textAlignment w:val="auto"/>
        <w:rPr>
          <w:rFonts w:ascii="宋体" w:hAnsi="宋体"/>
          <w:sz w:val="24"/>
        </w:rPr>
      </w:pPr>
      <w:r>
        <w:rPr>
          <w:rFonts w:ascii="宋体" w:hAnsi="宋体"/>
          <w:sz w:val="24"/>
        </w:rPr>
        <w:t>结合地方经济社会发展的需要，突出基础扎实、动手能力强、综合素质高的人才培养特点，为地方培养技术精、素质高的应用型人才。以通识教育为基础，学科培养为优势，构建学生合理的知识结构；以专业教育为本位，构建学生应用知识和技能解决实际问题的能力；以素质教育为核心，构建学生终身学习和继续发展的潜能。</w:t>
      </w:r>
    </w:p>
    <w:p>
      <w:pPr>
        <w:adjustRightInd w:val="0"/>
        <w:snapToGrid w:val="0"/>
        <w:rPr>
          <w:rFonts w:hint="eastAsia" w:ascii="宋体" w:hAnsi="宋体" w:cs="Segoe UI"/>
          <w:b/>
          <w:kern w:val="0"/>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黑体" w:hAnsi="黑体" w:eastAsia="黑体" w:cs="黑体"/>
          <w:b w:val="0"/>
          <w:bCs/>
          <w:kern w:val="0"/>
          <w:sz w:val="28"/>
          <w:szCs w:val="28"/>
        </w:rPr>
      </w:pPr>
      <w:r>
        <w:rPr>
          <w:rFonts w:hint="eastAsia" w:ascii="黑体" w:hAnsi="黑体" w:eastAsia="黑体" w:cs="黑体"/>
          <w:b w:val="0"/>
          <w:bCs/>
          <w:kern w:val="0"/>
          <w:sz w:val="28"/>
          <w:szCs w:val="28"/>
        </w:rPr>
        <w:t>（二）实践教学</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b w:val="0"/>
          <w:bCs/>
          <w:kern w:val="0"/>
          <w:sz w:val="24"/>
          <w:lang w:val="en-US" w:eastAsia="zh-CN"/>
        </w:rPr>
      </w:pPr>
      <w:r>
        <w:rPr>
          <w:rFonts w:hint="eastAsia" w:ascii="黑体" w:hAnsi="黑体" w:eastAsia="黑体" w:cs="黑体"/>
          <w:b w:val="0"/>
          <w:bCs/>
          <w:kern w:val="0"/>
          <w:sz w:val="24"/>
          <w:lang w:val="en-US" w:eastAsia="zh-CN"/>
        </w:rPr>
        <w:t>1.实践教学体系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学院构建了基础实践、专业实践、综合实践相结合的实践教学体系，基础实践主要包括：实验课和讨论课，主要培养学生的基本技能和基本操作；专业实践主要包括：见习、实习及毕业论文，主要培养学生专业实践能力；综合实践主要包括：军训、社会实践活动、创新创业教育及课外科技文化等活动，主要培养学生的创新能力和提高学生综合素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学院为创造条件让学生“早进课题，早进实验室，早进团队”，尽早接触临床、科研和创新创业活动，改善健全实验教学管理制度，不断深化实验教学内容及方法改革，尤其是将信息化手段应用于实验教学，实现了实验教学资源的应用和共享。通过丰富实验室开放的具体形式，逐步加大实验室开放力度，鼓励学生进行设计性、创新性实验，综合性、设计性实验课时比例维持在较高水平。此外，还依托母体学校虚拟仿真实验教学平台，开展虚拟仿真实验，突破时间、空间限制，提高学生学习兴趣，培养学生自主学习思考和动手的能力。</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b w:val="0"/>
          <w:bCs/>
          <w:kern w:val="0"/>
          <w:sz w:val="24"/>
          <w:lang w:val="en-US" w:eastAsia="zh-CN"/>
        </w:rPr>
      </w:pPr>
      <w:r>
        <w:rPr>
          <w:rFonts w:hint="eastAsia" w:ascii="黑体" w:hAnsi="黑体" w:eastAsia="黑体" w:cs="黑体"/>
          <w:b w:val="0"/>
          <w:bCs/>
          <w:kern w:val="0"/>
          <w:sz w:val="24"/>
          <w:lang w:val="en-US" w:eastAsia="zh-CN"/>
        </w:rPr>
        <w:t>2.实验室建设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学院现有教学实验室</w:t>
      </w:r>
      <w:r>
        <w:rPr>
          <w:rFonts w:hint="eastAsia" w:ascii="宋体" w:hAnsi="宋体"/>
          <w:sz w:val="24"/>
          <w:lang w:val="en-US" w:eastAsia="zh-CN"/>
        </w:rPr>
        <w:t>11</w:t>
      </w:r>
      <w:r>
        <w:rPr>
          <w:rFonts w:hint="eastAsia" w:ascii="宋体" w:hAnsi="宋体"/>
          <w:sz w:val="24"/>
        </w:rPr>
        <w:t>个，实验室教学仪器设备齐全、使用率高，能完全满足教学工作需要。</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b w:val="0"/>
          <w:bCs/>
          <w:kern w:val="0"/>
          <w:sz w:val="24"/>
          <w:lang w:val="en-US" w:eastAsia="zh-CN"/>
        </w:rPr>
      </w:pPr>
      <w:r>
        <w:rPr>
          <w:rFonts w:hint="eastAsia" w:ascii="黑体" w:hAnsi="黑体" w:eastAsia="黑体" w:cs="黑体"/>
          <w:b w:val="0"/>
          <w:bCs/>
          <w:kern w:val="0"/>
          <w:sz w:val="24"/>
          <w:lang w:val="en-US" w:eastAsia="zh-CN"/>
        </w:rPr>
        <w:t>3.实验室安全管理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sz w:val="24"/>
        </w:rPr>
      </w:pPr>
      <w:r>
        <w:rPr>
          <w:rFonts w:hint="eastAsia" w:ascii="宋体" w:hAnsi="宋体"/>
          <w:sz w:val="24"/>
        </w:rPr>
        <w:t>201</w:t>
      </w:r>
      <w:r>
        <w:rPr>
          <w:rFonts w:hint="eastAsia" w:ascii="宋体" w:hAnsi="宋体"/>
          <w:sz w:val="24"/>
          <w:lang w:val="en-US" w:eastAsia="zh-CN"/>
        </w:rPr>
        <w:t>7</w:t>
      </w:r>
      <w:r>
        <w:rPr>
          <w:rFonts w:ascii="宋体" w:hAnsi="宋体"/>
          <w:sz w:val="24"/>
        </w:rPr>
        <w:t>—</w:t>
      </w:r>
      <w:r>
        <w:rPr>
          <w:rFonts w:hint="eastAsia" w:ascii="宋体" w:hAnsi="宋体"/>
          <w:sz w:val="24"/>
        </w:rPr>
        <w:t>201</w:t>
      </w:r>
      <w:r>
        <w:rPr>
          <w:rFonts w:hint="eastAsia" w:ascii="宋体" w:hAnsi="宋体"/>
          <w:sz w:val="24"/>
          <w:lang w:val="en-US" w:eastAsia="zh-CN"/>
        </w:rPr>
        <w:t>8</w:t>
      </w:r>
      <w:r>
        <w:rPr>
          <w:rFonts w:hint="eastAsia" w:ascii="宋体" w:hAnsi="宋体"/>
          <w:sz w:val="24"/>
        </w:rPr>
        <w:t>学年，坚持落实好实验室三期检查</w:t>
      </w:r>
      <w:r>
        <w:rPr>
          <w:rFonts w:hint="eastAsia" w:ascii="宋体" w:hAnsi="宋体"/>
          <w:sz w:val="24"/>
          <w:lang w:eastAsia="zh-CN"/>
        </w:rPr>
        <w:t>：</w:t>
      </w:r>
      <w:r>
        <w:rPr>
          <w:rFonts w:hint="eastAsia" w:ascii="宋体" w:hAnsi="宋体"/>
          <w:sz w:val="24"/>
        </w:rPr>
        <w:t>学期前的</w:t>
      </w:r>
      <w:r>
        <w:rPr>
          <w:rFonts w:hint="eastAsia" w:ascii="宋体" w:hAnsi="宋体"/>
          <w:sz w:val="24"/>
          <w:lang w:val="en-US" w:eastAsia="zh-CN"/>
        </w:rPr>
        <w:t>检查</w:t>
      </w:r>
      <w:r>
        <w:rPr>
          <w:rFonts w:hint="eastAsia" w:ascii="宋体" w:hAnsi="宋体"/>
          <w:sz w:val="24"/>
        </w:rPr>
        <w:t>、中期的实验室检查和自查、期末的实验室安全检查和自查。并组织</w:t>
      </w:r>
      <w:r>
        <w:rPr>
          <w:rFonts w:hint="eastAsia" w:ascii="宋体" w:hAnsi="宋体"/>
          <w:sz w:val="24"/>
          <w:lang w:val="en-US" w:eastAsia="zh-CN"/>
        </w:rPr>
        <w:t>学院相关领导</w:t>
      </w:r>
      <w:r>
        <w:rPr>
          <w:rFonts w:hint="eastAsia" w:ascii="宋体" w:hAnsi="宋体"/>
          <w:sz w:val="24"/>
        </w:rPr>
        <w:t>开展实验室安全检查，逐步完善实验室硬件建设工作、巩固实验室安全工作，保障实验课程顺利开展，确保实验室安全工作的落实。</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b w:val="0"/>
          <w:bCs/>
          <w:kern w:val="0"/>
          <w:sz w:val="24"/>
          <w:lang w:val="en-US" w:eastAsia="zh-CN"/>
        </w:rPr>
      </w:pPr>
      <w:r>
        <w:rPr>
          <w:rFonts w:hint="eastAsia" w:ascii="黑体" w:hAnsi="黑体" w:eastAsia="黑体" w:cs="黑体"/>
          <w:b w:val="0"/>
          <w:bCs/>
          <w:kern w:val="0"/>
          <w:sz w:val="24"/>
          <w:lang w:val="en-US" w:eastAsia="zh-CN"/>
        </w:rPr>
        <w:t>4.实验室开放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201</w:t>
      </w:r>
      <w:r>
        <w:rPr>
          <w:rFonts w:hint="eastAsia" w:ascii="宋体" w:hAnsi="宋体"/>
          <w:sz w:val="24"/>
          <w:lang w:val="en-US" w:eastAsia="zh-CN"/>
        </w:rPr>
        <w:t>7</w:t>
      </w:r>
      <w:r>
        <w:rPr>
          <w:rFonts w:hint="eastAsia" w:ascii="宋体" w:hAnsi="宋体"/>
          <w:sz w:val="24"/>
        </w:rPr>
        <w:t>-201</w:t>
      </w:r>
      <w:r>
        <w:rPr>
          <w:rFonts w:hint="eastAsia" w:ascii="宋体" w:hAnsi="宋体"/>
          <w:sz w:val="24"/>
          <w:lang w:val="en-US" w:eastAsia="zh-CN"/>
        </w:rPr>
        <w:t>8</w:t>
      </w:r>
      <w:r>
        <w:rPr>
          <w:rFonts w:hint="eastAsia" w:ascii="宋体" w:hAnsi="宋体"/>
          <w:sz w:val="24"/>
        </w:rPr>
        <w:t>学年第一学期开放实验室的部门主要有：人体解剖学实验室、寄生虫学教研室、形态学实验室、护理学实验室、预防医学实验室、组培学教研室、医学检验学实验室、药学实验室等。实验室开放呈上升趋势。</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b w:val="0"/>
          <w:bCs/>
          <w:kern w:val="0"/>
          <w:sz w:val="24"/>
          <w:lang w:val="en-US" w:eastAsia="zh-CN"/>
        </w:rPr>
      </w:pPr>
      <w:r>
        <w:rPr>
          <w:rFonts w:hint="eastAsia" w:ascii="黑体" w:hAnsi="黑体" w:eastAsia="黑体" w:cs="黑体"/>
          <w:b w:val="0"/>
          <w:bCs/>
          <w:kern w:val="0"/>
          <w:sz w:val="24"/>
          <w:lang w:val="en-US" w:eastAsia="zh-CN"/>
        </w:rPr>
        <w:t>5、创新创业教育</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eastAsia="zh-CN"/>
        </w:rPr>
      </w:pPr>
      <w:r>
        <w:rPr>
          <w:rFonts w:hint="eastAsia" w:ascii="宋体" w:hAnsi="宋体"/>
          <w:sz w:val="24"/>
        </w:rPr>
        <w:t>大学生创新创业计划项目实施成效明显，学</w:t>
      </w:r>
      <w:r>
        <w:rPr>
          <w:rFonts w:hint="eastAsia" w:ascii="宋体" w:hAnsi="宋体"/>
          <w:sz w:val="24"/>
          <w:lang w:val="en-US" w:eastAsia="zh-CN"/>
        </w:rPr>
        <w:t>院</w:t>
      </w:r>
      <w:r>
        <w:rPr>
          <w:rFonts w:hint="eastAsia" w:ascii="宋体" w:hAnsi="宋体"/>
          <w:sz w:val="24"/>
        </w:rPr>
        <w:t>不断完善“国家—省—学校”三级大创计划项目体系建设。大学生创新创业计划项目立项及资助</w:t>
      </w:r>
      <w:bookmarkStart w:id="0" w:name="_GoBack"/>
      <w:bookmarkEnd w:id="0"/>
      <w:r>
        <w:rPr>
          <w:rFonts w:hint="eastAsia" w:ascii="宋体" w:hAnsi="宋体"/>
          <w:sz w:val="24"/>
        </w:rPr>
        <w:t>经费总体呈现逐年增长的良好趋势</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b w:val="0"/>
          <w:bCs/>
          <w:kern w:val="0"/>
          <w:sz w:val="24"/>
          <w:lang w:val="en-US" w:eastAsia="zh-CN"/>
        </w:rPr>
      </w:pPr>
      <w:r>
        <w:rPr>
          <w:rFonts w:hint="eastAsia" w:ascii="黑体" w:hAnsi="黑体" w:eastAsia="黑体" w:cs="黑体"/>
          <w:b w:val="0"/>
          <w:bCs/>
          <w:kern w:val="0"/>
          <w:sz w:val="24"/>
          <w:lang w:val="en-US" w:eastAsia="zh-CN"/>
        </w:rPr>
        <w:t>6.实习基地建设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毕业实习是巩固理论知识、熟悉临床技能操作、培养临床诊疗思维的有效途径，学院一直将此项工作作为教学工作的重点，常抓不懈。</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sz w:val="24"/>
        </w:rPr>
      </w:pPr>
      <w:r>
        <w:rPr>
          <w:rFonts w:hint="eastAsia" w:ascii="宋体" w:hAnsi="宋体"/>
          <w:b/>
          <w:sz w:val="24"/>
        </w:rPr>
        <w:t>1、201</w:t>
      </w:r>
      <w:r>
        <w:rPr>
          <w:rFonts w:hint="eastAsia" w:ascii="宋体" w:hAnsi="宋体"/>
          <w:b/>
          <w:sz w:val="24"/>
          <w:lang w:val="en-US" w:eastAsia="zh-CN"/>
        </w:rPr>
        <w:t>8</w:t>
      </w:r>
      <w:r>
        <w:rPr>
          <w:rFonts w:hint="eastAsia" w:ascii="宋体" w:hAnsi="宋体"/>
          <w:b/>
          <w:sz w:val="24"/>
        </w:rPr>
        <w:t>年各专业实习顺利进行，实习质量稳步提升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在学院及部门领导的高度重视和正确领导下，顺利完成201</w:t>
      </w:r>
      <w:r>
        <w:rPr>
          <w:rFonts w:hint="eastAsia" w:ascii="宋体" w:hAnsi="宋体"/>
          <w:sz w:val="24"/>
          <w:lang w:val="en-US" w:eastAsia="zh-CN"/>
        </w:rPr>
        <w:t>8</w:t>
      </w:r>
      <w:r>
        <w:rPr>
          <w:rFonts w:hint="eastAsia" w:ascii="宋体" w:hAnsi="宋体"/>
          <w:sz w:val="24"/>
        </w:rPr>
        <w:t>年主要的实习工作任务。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（1）临床医学、麻醉学、医学影像学、临床医学（美容）、口腔医学等专业201</w:t>
      </w:r>
      <w:r>
        <w:rPr>
          <w:rFonts w:hint="eastAsia" w:ascii="宋体" w:hAnsi="宋体"/>
          <w:sz w:val="24"/>
          <w:lang w:val="en-US" w:eastAsia="zh-CN"/>
        </w:rPr>
        <w:t>4</w:t>
      </w:r>
      <w:r>
        <w:rPr>
          <w:rFonts w:hint="eastAsia" w:ascii="宋体" w:hAnsi="宋体"/>
          <w:sz w:val="24"/>
        </w:rPr>
        <w:t>级学生已于201</w:t>
      </w:r>
      <w:r>
        <w:rPr>
          <w:rFonts w:hint="eastAsia" w:ascii="宋体" w:hAnsi="宋体"/>
          <w:sz w:val="24"/>
          <w:lang w:val="en-US" w:eastAsia="zh-CN"/>
        </w:rPr>
        <w:t>8</w:t>
      </w:r>
      <w:r>
        <w:rPr>
          <w:rFonts w:hint="eastAsia" w:ascii="宋体" w:hAnsi="宋体"/>
          <w:sz w:val="24"/>
        </w:rPr>
        <w:t>年上半年进入实习轮转，护理学、医学检验技术、医学影像技术、口腔医学技术等专业201</w:t>
      </w:r>
      <w:r>
        <w:rPr>
          <w:rFonts w:hint="eastAsia" w:ascii="宋体" w:hAnsi="宋体"/>
          <w:sz w:val="24"/>
          <w:lang w:val="en-US" w:eastAsia="zh-CN"/>
        </w:rPr>
        <w:t>5</w:t>
      </w:r>
      <w:r>
        <w:rPr>
          <w:rFonts w:hint="eastAsia" w:ascii="宋体" w:hAnsi="宋体"/>
          <w:sz w:val="24"/>
        </w:rPr>
        <w:t>级学生也先后进入实习轮转。各实践教学基地基本都能按照学院各专业培养方案和实习大纲的要求安排实习轮转，完成相应的实习教学任务。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（2）药物制剂、制药工程、公共事业管理、英语、英语教育等专业201</w:t>
      </w:r>
      <w:r>
        <w:rPr>
          <w:rFonts w:hint="eastAsia" w:ascii="宋体" w:hAnsi="宋体"/>
          <w:sz w:val="24"/>
          <w:lang w:val="en-US" w:eastAsia="zh-CN"/>
        </w:rPr>
        <w:t>5</w:t>
      </w:r>
      <w:r>
        <w:rPr>
          <w:rFonts w:hint="eastAsia" w:ascii="宋体" w:hAnsi="宋体"/>
          <w:sz w:val="24"/>
        </w:rPr>
        <w:t>级学生于201</w:t>
      </w:r>
      <w:r>
        <w:rPr>
          <w:rFonts w:hint="eastAsia" w:ascii="宋体" w:hAnsi="宋体"/>
          <w:sz w:val="24"/>
          <w:lang w:val="en-US" w:eastAsia="zh-CN"/>
        </w:rPr>
        <w:t>8</w:t>
      </w:r>
      <w:r>
        <w:rPr>
          <w:rFonts w:hint="eastAsia" w:ascii="宋体" w:hAnsi="宋体"/>
          <w:sz w:val="24"/>
        </w:rPr>
        <w:t>年下半年先后进入各单位进行实习，且均已顺利完成学校所要求的实习教学任务。</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sz w:val="24"/>
        </w:rPr>
      </w:pPr>
      <w:r>
        <w:rPr>
          <w:rFonts w:hint="eastAsia" w:ascii="宋体" w:hAnsi="宋体"/>
          <w:b/>
          <w:sz w:val="24"/>
        </w:rPr>
        <w:t>2、开展毕业实习教学检查，保障毕业实习良好运行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为进一步加强毕业实习管理，规范实习教学过程，推行“四维教学标准”，提高毕业实习质量，推进医教协同进程，学院开展了201</w:t>
      </w:r>
      <w:r>
        <w:rPr>
          <w:rFonts w:hint="eastAsia" w:ascii="宋体" w:hAnsi="宋体"/>
          <w:sz w:val="24"/>
          <w:lang w:val="en-US" w:eastAsia="zh-CN"/>
        </w:rPr>
        <w:t>8</w:t>
      </w:r>
      <w:r>
        <w:rPr>
          <w:rFonts w:hint="eastAsia" w:ascii="宋体" w:hAnsi="宋体"/>
          <w:sz w:val="24"/>
        </w:rPr>
        <w:t>年毕业实习初期教学检查和201</w:t>
      </w:r>
      <w:r>
        <w:rPr>
          <w:rFonts w:hint="eastAsia" w:ascii="宋体" w:hAnsi="宋体"/>
          <w:sz w:val="24"/>
          <w:lang w:val="en-US" w:eastAsia="zh-CN"/>
        </w:rPr>
        <w:t>8</w:t>
      </w:r>
      <w:r>
        <w:rPr>
          <w:rFonts w:hint="eastAsia" w:ascii="宋体" w:hAnsi="宋体"/>
          <w:sz w:val="24"/>
        </w:rPr>
        <w:t>年毕业实习教学检查暨巡回教学。此外，各部系也按照学</w:t>
      </w:r>
      <w:r>
        <w:rPr>
          <w:rFonts w:hint="eastAsia" w:ascii="宋体" w:hAnsi="宋体"/>
          <w:sz w:val="24"/>
          <w:lang w:val="en-US" w:eastAsia="zh-CN"/>
        </w:rPr>
        <w:t>院</w:t>
      </w:r>
      <w:r>
        <w:rPr>
          <w:rFonts w:hint="eastAsia" w:ascii="宋体" w:hAnsi="宋体"/>
          <w:sz w:val="24"/>
        </w:rPr>
        <w:t>要求，在其专业所涉及的实践教学基地开展了教学交流和教学检查活动。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1.初期教学检查于1月至4月进行。由学院领导带队，教学管理办公室、临床医学系、护理学系、麻醉学系等相关部门配合，分片区对我院省内各地区的临床教学基地进行了毕业实习初期教学检查。检查形式包括医院自查、检查组实地走访、查阅医院资料和召开学生组长及代表座谈会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仿宋"/>
          <w:sz w:val="24"/>
        </w:rPr>
      </w:pPr>
      <w:r>
        <w:rPr>
          <w:rFonts w:hint="eastAsia" w:ascii="宋体" w:hAnsi="宋体"/>
          <w:sz w:val="24"/>
        </w:rPr>
        <w:t>2.巡回教学检查于7月至9月进行。此次巡回教学活动由学院领导担任组长，</w:t>
      </w:r>
      <w:r>
        <w:rPr>
          <w:rFonts w:hint="eastAsia" w:ascii="宋体" w:hAnsi="宋体" w:cs="仿宋"/>
          <w:sz w:val="24"/>
        </w:rPr>
        <w:t>检查组成员包括教学管理办公室、临床医学系、第三临床学院、护理学系、麻醉学系系、医学影像系的多位专家和工作人员。检查组分为临床教学组和教学管理组，临床教学组以示范性教学查房、病例讨论、科室教学档案查阅和专题讲座等方式开展教学检查工作；教学管理组以实地走访、召开座谈会、查阅资料和组织西医综合理论考试等方式开展检查工作，先后对重庆、成都、遵义、贵阳、黔西、黔东等地区的临床教学基地和附属医院进行了全方位的检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仿宋"/>
          <w:sz w:val="24"/>
        </w:rPr>
      </w:pPr>
      <w:r>
        <w:rPr>
          <w:rFonts w:hint="eastAsia" w:ascii="宋体" w:hAnsi="宋体" w:cs="仿宋"/>
          <w:sz w:val="24"/>
        </w:rPr>
        <w:t>本次巡回教学检查融入了新元素，在原有检查模式的基础上，利用网络考试平台，组织我院临床医学、麻醉学、医学影像学专业的实习生进行西医综合理论测验，了解实习生考研准备的情况。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仿宋"/>
          <w:sz w:val="24"/>
        </w:rPr>
      </w:pPr>
      <w:r>
        <w:rPr>
          <w:rFonts w:hint="eastAsia" w:ascii="宋体" w:hAnsi="宋体"/>
          <w:sz w:val="24"/>
        </w:rPr>
        <w:t>教学检查的顺利开展，加深了学院对各临床教学基地的了解，增进了联系，</w:t>
      </w:r>
      <w:r>
        <w:rPr>
          <w:rFonts w:hint="eastAsia" w:ascii="宋体" w:hAnsi="宋体" w:cs="仿宋"/>
          <w:sz w:val="24"/>
        </w:rPr>
        <w:t>促进了医教协同，达到了紧密教学关系，增进临床教学指导的作用。</w:t>
      </w:r>
    </w:p>
    <w:p>
      <w:pPr>
        <w:keepNext w:val="0"/>
        <w:keepLines w:val="0"/>
        <w:pageBreakBefore w:val="0"/>
        <w:widowControl w:val="0"/>
        <w:tabs>
          <w:tab w:val="left" w:pos="540"/>
        </w:tabs>
        <w:kinsoku/>
        <w:wordWrap/>
        <w:overflowPunct/>
        <w:topLinePunct w:val="0"/>
        <w:autoSpaceDE/>
        <w:autoSpaceDN/>
        <w:bidi w:val="0"/>
        <w:adjustRightInd/>
        <w:snapToGrid/>
        <w:spacing w:line="400" w:lineRule="exact"/>
        <w:ind w:firstLine="482" w:firstLineChars="200"/>
        <w:textAlignment w:val="auto"/>
        <w:rPr>
          <w:rFonts w:hint="eastAsia" w:ascii="宋体" w:hAnsi="宋体"/>
          <w:b/>
          <w:sz w:val="24"/>
        </w:rPr>
      </w:pPr>
      <w:r>
        <w:rPr>
          <w:rFonts w:hint="eastAsia" w:ascii="宋体" w:hAnsi="宋体"/>
          <w:b/>
          <w:sz w:val="24"/>
        </w:rPr>
        <w:t>3、开展毕业实习临床综合理论考试，提高临床毕业生的理论知识水平</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学院自2014年9月起，每个季度末在各临床教学基地开展针对临床医学、医学影像学、麻醉学、临床医学（美容）等四个专业实习生的临床综合理论考试。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临床综合理论考试的开展，起到了进一步培养临床毕业生的临床思维及诊疗水平，提升医学类毕业实习生综合素质的作用。</w:t>
      </w:r>
    </w:p>
    <w:p>
      <w:pPr>
        <w:keepNext w:val="0"/>
        <w:keepLines w:val="0"/>
        <w:pageBreakBefore w:val="0"/>
        <w:widowControl w:val="0"/>
        <w:tabs>
          <w:tab w:val="left" w:pos="540"/>
        </w:tabs>
        <w:kinsoku/>
        <w:wordWrap/>
        <w:overflowPunct/>
        <w:topLinePunct w:val="0"/>
        <w:autoSpaceDE/>
        <w:autoSpaceDN/>
        <w:bidi w:val="0"/>
        <w:adjustRightInd/>
        <w:snapToGrid/>
        <w:spacing w:line="400" w:lineRule="exact"/>
        <w:ind w:firstLine="482" w:firstLineChars="200"/>
        <w:textAlignment w:val="auto"/>
        <w:rPr>
          <w:rFonts w:hint="eastAsia" w:ascii="宋体" w:hAnsi="宋体"/>
          <w:b/>
          <w:sz w:val="24"/>
        </w:rPr>
      </w:pPr>
      <w:r>
        <w:rPr>
          <w:rFonts w:hint="eastAsia" w:ascii="宋体" w:hAnsi="宋体"/>
          <w:b/>
          <w:sz w:val="24"/>
        </w:rPr>
        <w:t>4、修订管理制度，保障人才培养质量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（1）修订毕业论文管理办法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根据各专业学科建设需要，以及近几年毕业论文中期、后期、专项检查结果，结合检查期间专家督导组提出的意见和建议，在充分征求各相关院系的意见后，对《遵义医学院医学与科技学院毕业论文（设计）管理办法》进行了修订，并督促各相关部系对《遵义医学院医学与科技学院本科生毕业论文（设计）工作记录》的内容进行了调整，以更好的体现各专业学生撰写论文时老师的指导过程，确保论文的真实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（2）修订毕业实习管理办法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 xml:space="preserve"> 为适应新专业实习需要，同时根据近几年毕业实习初期教学检查和巡回教学过程中发现的问题，以及日常实习管理工作中发现的管理漏洞，对《遵义医学院医学与科技学院毕业实习管理规定》进行了修订。在原有文件的基础上，进一步明确了各管理层级的职责，并对实习生请销假、违纪处理的责权问题制定了详细规定。</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sz w:val="24"/>
        </w:rPr>
      </w:pPr>
      <w:r>
        <w:rPr>
          <w:rFonts w:hint="eastAsia" w:ascii="宋体" w:hAnsi="宋体"/>
          <w:b/>
          <w:sz w:val="24"/>
        </w:rPr>
        <w:t>5、实践教学基地建设情况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加强实践教学基地建设，满足实践教学发展需求。为加快高等教育改革步伐，加强培养各专业人才和科研合作，构建本科生培养新模式，提高学生的社会实践能力，我院今年</w:t>
      </w:r>
      <w:r>
        <w:rPr>
          <w:rFonts w:hint="eastAsia" w:ascii="宋体" w:hAnsi="宋体"/>
          <w:sz w:val="24"/>
          <w:lang w:val="en-US" w:eastAsia="zh-CN"/>
        </w:rPr>
        <w:t>与北京大学国际医院等医疗机构签订了实习协议，</w:t>
      </w:r>
      <w:r>
        <w:rPr>
          <w:rFonts w:hint="eastAsia" w:ascii="宋体" w:hAnsi="宋体"/>
          <w:sz w:val="24"/>
        </w:rPr>
        <w:t>新的实践教学基地的开辟提高了我院实习实践教学的质量，同时为我院学生就业提供了更多机会。</w:t>
      </w:r>
    </w:p>
    <w:p>
      <w:pPr>
        <w:ind w:firstLine="480" w:firstLineChars="200"/>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黑体" w:hAnsi="黑体" w:eastAsia="黑体" w:cs="黑体"/>
          <w:b w:val="0"/>
          <w:bCs/>
          <w:kern w:val="0"/>
          <w:sz w:val="28"/>
          <w:szCs w:val="28"/>
        </w:rPr>
      </w:pPr>
      <w:r>
        <w:rPr>
          <w:rFonts w:hint="eastAsia" w:ascii="黑体" w:hAnsi="黑体" w:eastAsia="黑体" w:cs="黑体"/>
          <w:b w:val="0"/>
          <w:bCs/>
          <w:kern w:val="0"/>
          <w:sz w:val="28"/>
          <w:szCs w:val="28"/>
        </w:rPr>
        <w:t>（三）毕业论文</w:t>
      </w:r>
    </w:p>
    <w:p>
      <w:pPr>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outlineLvl w:val="9"/>
        <w:rPr>
          <w:rFonts w:hint="eastAsia" w:ascii="宋体" w:hAnsi="宋体"/>
          <w:b/>
          <w:sz w:val="24"/>
        </w:rPr>
      </w:pPr>
      <w:r>
        <w:rPr>
          <w:rFonts w:hint="eastAsia" w:ascii="宋体" w:hAnsi="宋体"/>
          <w:b/>
          <w:sz w:val="24"/>
        </w:rPr>
        <w:t>（1）开展毕业论文查重工作，严把学位论文授予质量关</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outlineLvl w:val="9"/>
        <w:rPr>
          <w:rFonts w:hint="eastAsia" w:ascii="宋体" w:hAnsi="宋体"/>
          <w:sz w:val="24"/>
        </w:rPr>
      </w:pPr>
      <w:r>
        <w:rPr>
          <w:rFonts w:hint="eastAsia" w:ascii="宋体" w:hAnsi="宋体"/>
          <w:sz w:val="24"/>
        </w:rPr>
        <w:t>为进一步加强学风建设，营造求真务实</w:t>
      </w:r>
      <w:r>
        <w:rPr>
          <w:rFonts w:ascii="宋体" w:hAnsi="宋体"/>
          <w:sz w:val="24"/>
        </w:rPr>
        <w:t>的学术氛围，有效遏制学术不端行为</w:t>
      </w:r>
      <w:r>
        <w:rPr>
          <w:rFonts w:hint="eastAsia" w:ascii="宋体" w:hAnsi="宋体"/>
          <w:sz w:val="24"/>
        </w:rPr>
        <w:t>的发生</w:t>
      </w:r>
      <w:r>
        <w:rPr>
          <w:rFonts w:ascii="宋体" w:hAnsi="宋体"/>
          <w:sz w:val="24"/>
        </w:rPr>
        <w:t>，</w:t>
      </w:r>
      <w:r>
        <w:rPr>
          <w:rFonts w:hint="eastAsia" w:ascii="宋体" w:hAnsi="宋体"/>
          <w:sz w:val="24"/>
        </w:rPr>
        <w:t>在毕业生答辩之前，均参加由教学管理办公室组织的论文（设计）查重工作。论文重复率＜30%的可以如期进行答辩，论文重复率≥30%的，按照《遵义医学院医学与科技学院本科生毕业论文（设计）作假行为处理实施细则》相关条例进行处理。</w:t>
      </w:r>
    </w:p>
    <w:p>
      <w:pPr>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outlineLvl w:val="9"/>
        <w:rPr>
          <w:rFonts w:hint="eastAsia" w:ascii="宋体" w:hAnsi="宋体"/>
          <w:b/>
          <w:sz w:val="24"/>
        </w:rPr>
      </w:pPr>
      <w:r>
        <w:rPr>
          <w:rFonts w:hint="eastAsia" w:ascii="宋体" w:hAnsi="宋体"/>
          <w:b/>
          <w:sz w:val="24"/>
        </w:rPr>
        <w:t>（2）毕业论文专项检查</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outlineLvl w:val="9"/>
        <w:rPr>
          <w:rFonts w:hint="eastAsia" w:ascii="宋体" w:hAnsi="宋体"/>
          <w:sz w:val="24"/>
        </w:rPr>
      </w:pPr>
      <w:r>
        <w:rPr>
          <w:rFonts w:hint="eastAsia" w:ascii="宋体" w:hAnsi="宋体"/>
          <w:sz w:val="24"/>
        </w:rPr>
        <w:t>为进一步规范毕业论文（设计）管理工作，确保毕业论文工作顺利开展，实时掌握各院系毕业论文工作开展进度，杜绝论文作假行为，提升本科生毕业论文质量，根据《遵义医学院医学与科技学院本科生毕业论文（设计）管理办法》的要求，</w:t>
      </w:r>
      <w:r>
        <w:rPr>
          <w:rFonts w:hint="eastAsia" w:ascii="宋体" w:hAnsi="宋体"/>
          <w:sz w:val="24"/>
          <w:lang w:val="en-US" w:eastAsia="zh-CN"/>
        </w:rPr>
        <w:t>2018年</w:t>
      </w:r>
      <w:r>
        <w:rPr>
          <w:rFonts w:hint="eastAsia" w:ascii="宋体" w:hAnsi="宋体"/>
          <w:sz w:val="24"/>
        </w:rPr>
        <w:t>5月14日—1</w:t>
      </w:r>
      <w:r>
        <w:rPr>
          <w:rFonts w:hint="eastAsia" w:ascii="宋体" w:hAnsi="宋体"/>
          <w:sz w:val="24"/>
          <w:lang w:val="en-US" w:eastAsia="zh-CN"/>
        </w:rPr>
        <w:t>5</w:t>
      </w:r>
      <w:r>
        <w:rPr>
          <w:rFonts w:hint="eastAsia" w:ascii="宋体" w:hAnsi="宋体"/>
          <w:sz w:val="24"/>
        </w:rPr>
        <w:t>日</w:t>
      </w:r>
      <w:r>
        <w:rPr>
          <w:rFonts w:hint="eastAsia" w:ascii="宋体" w:hAnsi="宋体"/>
          <w:kern w:val="0"/>
          <w:sz w:val="24"/>
        </w:rPr>
        <w:t>，由教学管理办公室牵头，对</w:t>
      </w:r>
      <w:r>
        <w:rPr>
          <w:rFonts w:hint="eastAsia" w:ascii="宋体" w:hAnsi="宋体"/>
          <w:sz w:val="24"/>
        </w:rPr>
        <w:t>管理学院</w:t>
      </w:r>
      <w:r>
        <w:rPr>
          <w:rFonts w:hint="eastAsia" w:ascii="宋体" w:hAnsi="宋体"/>
          <w:kern w:val="0"/>
          <w:sz w:val="24"/>
        </w:rPr>
        <w:t>、药学</w:t>
      </w:r>
      <w:r>
        <w:rPr>
          <w:rFonts w:hint="eastAsia" w:ascii="宋体" w:hAnsi="宋体"/>
          <w:kern w:val="0"/>
          <w:sz w:val="24"/>
          <w:lang w:val="en-US" w:eastAsia="zh-CN"/>
        </w:rPr>
        <w:t>院</w:t>
      </w:r>
      <w:r>
        <w:rPr>
          <w:rFonts w:hint="eastAsia" w:ascii="宋体" w:hAnsi="宋体"/>
          <w:kern w:val="0"/>
          <w:sz w:val="24"/>
        </w:rPr>
        <w:t>和公共</w:t>
      </w:r>
      <w:r>
        <w:rPr>
          <w:rFonts w:hint="eastAsia" w:ascii="宋体" w:hAnsi="宋体"/>
          <w:kern w:val="0"/>
          <w:sz w:val="24"/>
          <w:lang w:val="en-US" w:eastAsia="zh-CN"/>
        </w:rPr>
        <w:t>卫生学院等</w:t>
      </w:r>
      <w:r>
        <w:rPr>
          <w:rFonts w:hint="eastAsia" w:ascii="宋体" w:hAnsi="宋体"/>
          <w:kern w:val="0"/>
          <w:sz w:val="24"/>
        </w:rPr>
        <w:t>开展了201</w:t>
      </w:r>
      <w:r>
        <w:rPr>
          <w:rFonts w:hint="eastAsia" w:ascii="宋体" w:hAnsi="宋体"/>
          <w:kern w:val="0"/>
          <w:sz w:val="24"/>
          <w:lang w:val="en-US" w:eastAsia="zh-CN"/>
        </w:rPr>
        <w:t>8</w:t>
      </w:r>
      <w:r>
        <w:rPr>
          <w:rFonts w:hint="eastAsia" w:ascii="宋体" w:hAnsi="宋体"/>
          <w:kern w:val="0"/>
          <w:sz w:val="24"/>
        </w:rPr>
        <w:t>年毕业论文（设计）专项检查。</w:t>
      </w:r>
      <w:r>
        <w:rPr>
          <w:rFonts w:hint="eastAsia" w:ascii="宋体" w:hAnsi="宋体"/>
          <w:sz w:val="24"/>
        </w:rPr>
        <w:t>主要检查各部系201</w:t>
      </w:r>
      <w:r>
        <w:rPr>
          <w:rFonts w:hint="eastAsia" w:ascii="宋体" w:hAnsi="宋体"/>
          <w:sz w:val="24"/>
          <w:lang w:val="en-US" w:eastAsia="zh-CN"/>
        </w:rPr>
        <w:t>8</w:t>
      </w:r>
      <w:r>
        <w:rPr>
          <w:rFonts w:hint="eastAsia" w:ascii="宋体" w:hAnsi="宋体"/>
          <w:sz w:val="24"/>
        </w:rPr>
        <w:t>届毕业论文工作执行情况，检查内容包括201</w:t>
      </w:r>
      <w:r>
        <w:rPr>
          <w:rFonts w:hint="eastAsia" w:ascii="宋体" w:hAnsi="宋体"/>
          <w:sz w:val="24"/>
          <w:lang w:val="en-US" w:eastAsia="zh-CN"/>
        </w:rPr>
        <w:t>8</w:t>
      </w:r>
      <w:r>
        <w:rPr>
          <w:rFonts w:hint="eastAsia" w:ascii="宋体" w:hAnsi="宋体"/>
          <w:sz w:val="24"/>
        </w:rPr>
        <w:t>届毕业论文工作计划，选题和开题、教师指导、院系论文中期检查等各项工作的开展情况。</w:t>
      </w:r>
    </w:p>
    <w:p>
      <w:pPr>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outlineLvl w:val="9"/>
        <w:rPr>
          <w:rFonts w:hint="eastAsia" w:ascii="宋体" w:hAnsi="宋体"/>
          <w:b/>
          <w:sz w:val="24"/>
        </w:rPr>
      </w:pPr>
      <w:r>
        <w:rPr>
          <w:rFonts w:hint="eastAsia" w:ascii="宋体" w:hAnsi="宋体"/>
          <w:b/>
          <w:sz w:val="24"/>
        </w:rPr>
        <w:t>（3）优秀毕业论文、优秀指导教师评选</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outlineLvl w:val="9"/>
        <w:rPr>
          <w:rFonts w:hint="eastAsia" w:ascii="宋体" w:hAnsi="宋体"/>
          <w:sz w:val="24"/>
        </w:rPr>
      </w:pPr>
      <w:r>
        <w:rPr>
          <w:rFonts w:hint="eastAsia" w:ascii="宋体" w:hAnsi="宋体"/>
          <w:sz w:val="24"/>
        </w:rPr>
        <w:t>为激励教师对毕业论文指导工作的积极性，在毕业论文工作结束之后，各部系推荐优秀毕业论文和优秀指导教师参加学院组织的评选。教学管理办公室组织相关领导及专家对各部系推荐的评选对象进行评定，获得优秀毕业论文、优秀指导教师荣誉的由学院颁发证书和奖励。</w:t>
      </w:r>
    </w:p>
    <w:p>
      <w:pPr>
        <w:rPr>
          <w:rFonts w:hint="eastAsia" w:ascii="宋体" w:hAnsi="宋体" w:cs="Segoe UI"/>
          <w:b/>
          <w:kern w:val="0"/>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黑体" w:hAnsi="黑体" w:eastAsia="黑体" w:cs="黑体"/>
          <w:b w:val="0"/>
          <w:bCs/>
          <w:kern w:val="0"/>
          <w:sz w:val="28"/>
          <w:szCs w:val="28"/>
        </w:rPr>
      </w:pPr>
      <w:r>
        <w:rPr>
          <w:rFonts w:hint="eastAsia" w:ascii="黑体" w:hAnsi="黑体" w:eastAsia="黑体" w:cs="黑体"/>
          <w:b w:val="0"/>
          <w:bCs/>
          <w:kern w:val="0"/>
          <w:sz w:val="28"/>
          <w:szCs w:val="28"/>
        </w:rPr>
        <w:t>（四）专业建设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Segoe UI"/>
          <w:b/>
          <w:kern w:val="0"/>
          <w:sz w:val="24"/>
        </w:rPr>
      </w:pPr>
      <w:r>
        <w:rPr>
          <w:rFonts w:ascii="宋体" w:hAnsi="宋体"/>
          <w:sz w:val="24"/>
        </w:rPr>
        <w:t>在长期的办学过程中，我院形成了“以社会需求为导向，以课程建设为核心”的专业建设指导思想，科学规划专业建设工作，根据国情、省情和院情，以需求为导向，加强专业结构调整，优化专业结构与布局。现已建成涵盖6大学科门类的18个本科专业</w:t>
      </w:r>
      <w:r>
        <w:rPr>
          <w:rFonts w:hint="eastAsia" w:ascii="宋体" w:hAnsi="宋体"/>
          <w:sz w:val="24"/>
          <w:lang w:eastAsia="zh-CN"/>
        </w:rPr>
        <w:t>，</w:t>
      </w:r>
      <w:r>
        <w:rPr>
          <w:rFonts w:ascii="宋体" w:hAnsi="宋体"/>
          <w:sz w:val="24"/>
        </w:rPr>
        <w:t>其中我院临床医学专业为贵州省特色专业。</w:t>
      </w:r>
    </w:p>
    <w:p>
      <w:pPr>
        <w:ind w:firstLine="480" w:firstLineChars="200"/>
        <w:rPr>
          <w:rFonts w:hint="eastAsia" w:ascii="宋体" w:hAnsi="宋体" w:cs="Segoe UI"/>
          <w:kern w:val="0"/>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黑体" w:hAnsi="黑体" w:eastAsia="黑体" w:cs="黑体"/>
          <w:b w:val="0"/>
          <w:bCs/>
          <w:kern w:val="0"/>
          <w:sz w:val="28"/>
          <w:szCs w:val="28"/>
        </w:rPr>
      </w:pPr>
      <w:r>
        <w:rPr>
          <w:rFonts w:hint="eastAsia" w:ascii="黑体" w:hAnsi="黑体" w:eastAsia="黑体" w:cs="黑体"/>
          <w:b w:val="0"/>
          <w:bCs/>
          <w:kern w:val="0"/>
          <w:sz w:val="28"/>
          <w:szCs w:val="28"/>
        </w:rPr>
        <w:t>（五）课程建设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r>
        <w:rPr>
          <w:rFonts w:hint="eastAsia" w:ascii="宋体" w:hAnsi="宋体"/>
          <w:sz w:val="24"/>
        </w:rPr>
        <w:t>为提高教学质量和学习效果，各专业课程学校以小班教学为主，每班学生50人左右。对于通识课、公共课等，为合理充分利用资源，学</w:t>
      </w:r>
      <w:r>
        <w:rPr>
          <w:rFonts w:hint="eastAsia" w:ascii="宋体" w:hAnsi="宋体"/>
          <w:sz w:val="24"/>
          <w:lang w:val="en-US" w:eastAsia="zh-CN"/>
        </w:rPr>
        <w:t>院</w:t>
      </w:r>
      <w:r>
        <w:rPr>
          <w:rFonts w:hint="eastAsia" w:ascii="宋体" w:hAnsi="宋体"/>
          <w:sz w:val="24"/>
        </w:rPr>
        <w:t>进行统筹安排，酌情予以合班上课。学院201</w:t>
      </w:r>
      <w:r>
        <w:rPr>
          <w:rFonts w:hint="eastAsia" w:ascii="宋体" w:hAnsi="宋体"/>
          <w:sz w:val="24"/>
          <w:lang w:val="en-US" w:eastAsia="zh-CN"/>
        </w:rPr>
        <w:t>7</w:t>
      </w:r>
      <w:r>
        <w:rPr>
          <w:rFonts w:hint="eastAsia" w:ascii="宋体" w:hAnsi="宋体"/>
          <w:sz w:val="24"/>
        </w:rPr>
        <w:t>-201</w:t>
      </w:r>
      <w:r>
        <w:rPr>
          <w:rFonts w:hint="eastAsia" w:ascii="宋体" w:hAnsi="宋体"/>
          <w:sz w:val="24"/>
          <w:lang w:val="en-US" w:eastAsia="zh-CN"/>
        </w:rPr>
        <w:t>8</w:t>
      </w:r>
      <w:r>
        <w:rPr>
          <w:rFonts w:hint="eastAsia" w:ascii="宋体" w:hAnsi="宋体"/>
          <w:sz w:val="24"/>
        </w:rPr>
        <w:t>学年开设必修课总门数</w:t>
      </w:r>
      <w:r>
        <w:rPr>
          <w:rFonts w:hint="eastAsia" w:ascii="宋体" w:hAnsi="宋体"/>
          <w:sz w:val="24"/>
          <w:lang w:val="en-US" w:eastAsia="zh-CN"/>
        </w:rPr>
        <w:t>166</w:t>
      </w:r>
      <w:r>
        <w:rPr>
          <w:rFonts w:hint="eastAsia" w:ascii="宋体" w:hAnsi="宋体"/>
          <w:sz w:val="24"/>
        </w:rPr>
        <w:t>门，选修课</w:t>
      </w:r>
      <w:r>
        <w:rPr>
          <w:rFonts w:hint="eastAsia" w:ascii="宋体" w:hAnsi="宋体"/>
          <w:sz w:val="24"/>
          <w:lang w:val="en-US" w:eastAsia="zh-CN"/>
        </w:rPr>
        <w:t>3</w:t>
      </w:r>
      <w:r>
        <w:rPr>
          <w:rFonts w:hint="eastAsia" w:ascii="宋体" w:hAnsi="宋体"/>
          <w:sz w:val="24"/>
        </w:rPr>
        <w:t>00余门，逐步在全</w:t>
      </w:r>
      <w:r>
        <w:rPr>
          <w:rFonts w:hint="eastAsia" w:ascii="宋体" w:hAnsi="宋体"/>
          <w:sz w:val="24"/>
          <w:lang w:val="en-US" w:eastAsia="zh-CN"/>
        </w:rPr>
        <w:t>院</w:t>
      </w:r>
      <w:r>
        <w:rPr>
          <w:rFonts w:hint="eastAsia" w:ascii="宋体" w:hAnsi="宋体"/>
          <w:sz w:val="24"/>
        </w:rPr>
        <w:t>各专业推进课程体系改革，构建以通识教育、专业基础课程、专业课程和实践创新平台为主要模块的课程体系。课程设置中，强化实践教学，加大选修课比例，促进学生个性发展；严格控制学时数，为学生自主学习、第二课堂活动等提供时间保障；鼓励学生积极参加科研、创新、社会实践和各类竞赛活动等，并计入学分；在隐性课程模块中，注重把长征精神教育融入学生德育教育体系。</w:t>
      </w:r>
    </w:p>
    <w:p>
      <w:pPr>
        <w:pStyle w:val="7"/>
        <w:adjustRightInd w:val="0"/>
        <w:snapToGrid w:val="0"/>
        <w:spacing w:before="0" w:beforeAutospacing="0" w:after="0" w:afterAutospacing="0"/>
        <w:ind w:firstLine="555"/>
        <w:rPr>
          <w:rFonts w:hint="eastAsia" w:cs="Segoe UI"/>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黑体" w:hAnsi="黑体" w:eastAsia="黑体" w:cs="黑体"/>
          <w:b w:val="0"/>
          <w:bCs/>
          <w:kern w:val="0"/>
          <w:sz w:val="28"/>
          <w:szCs w:val="28"/>
        </w:rPr>
      </w:pPr>
      <w:r>
        <w:rPr>
          <w:rFonts w:hint="eastAsia" w:ascii="黑体" w:hAnsi="黑体" w:eastAsia="黑体" w:cs="黑体"/>
          <w:b w:val="0"/>
          <w:bCs/>
          <w:kern w:val="0"/>
          <w:sz w:val="28"/>
          <w:szCs w:val="28"/>
        </w:rPr>
        <w:t>（六）教材建设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Segoe UI"/>
          <w:kern w:val="0"/>
          <w:sz w:val="24"/>
        </w:rPr>
      </w:pPr>
      <w:r>
        <w:rPr>
          <w:rFonts w:hint="eastAsia" w:ascii="宋体" w:hAnsi="宋体" w:cs="Segoe UI"/>
          <w:kern w:val="0"/>
          <w:sz w:val="24"/>
        </w:rPr>
        <w:t>严格执行学</w:t>
      </w:r>
      <w:r>
        <w:rPr>
          <w:rFonts w:hint="eastAsia" w:ascii="宋体" w:hAnsi="宋体" w:cs="Segoe UI"/>
          <w:kern w:val="0"/>
          <w:sz w:val="24"/>
          <w:lang w:val="en-US" w:eastAsia="zh-CN"/>
        </w:rPr>
        <w:t>院</w:t>
      </w:r>
      <w:r>
        <w:rPr>
          <w:rFonts w:ascii="宋体" w:hAnsi="宋体" w:cs="Segoe UI"/>
          <w:kern w:val="0"/>
          <w:sz w:val="24"/>
        </w:rPr>
        <w:t>教材</w:t>
      </w:r>
      <w:r>
        <w:rPr>
          <w:rFonts w:hint="eastAsia" w:ascii="宋体" w:hAnsi="宋体" w:cs="Segoe UI"/>
          <w:kern w:val="0"/>
          <w:sz w:val="24"/>
        </w:rPr>
        <w:t>选用</w:t>
      </w:r>
      <w:r>
        <w:rPr>
          <w:rFonts w:ascii="宋体" w:hAnsi="宋体" w:cs="Segoe UI"/>
          <w:kern w:val="0"/>
          <w:sz w:val="24"/>
        </w:rPr>
        <w:t>管理制度，</w:t>
      </w:r>
      <w:r>
        <w:rPr>
          <w:rFonts w:hint="eastAsia" w:ascii="宋体" w:hAnsi="宋体" w:cs="Segoe UI"/>
          <w:kern w:val="0"/>
          <w:sz w:val="24"/>
        </w:rPr>
        <w:t>优先选用国家级、精品和专业出版社规划教材，保证</w:t>
      </w:r>
      <w:r>
        <w:rPr>
          <w:rFonts w:ascii="宋体" w:hAnsi="宋体" w:cs="Segoe UI"/>
          <w:kern w:val="0"/>
          <w:sz w:val="24"/>
        </w:rPr>
        <w:t>高质量</w:t>
      </w:r>
      <w:r>
        <w:rPr>
          <w:rFonts w:hint="eastAsia" w:ascii="宋体" w:hAnsi="宋体" w:cs="Segoe UI"/>
          <w:kern w:val="0"/>
          <w:sz w:val="24"/>
        </w:rPr>
        <w:t>教材</w:t>
      </w:r>
      <w:r>
        <w:rPr>
          <w:rFonts w:ascii="宋体" w:hAnsi="宋体" w:cs="Segoe UI"/>
          <w:kern w:val="0"/>
          <w:sz w:val="24"/>
        </w:rPr>
        <w:t>进课堂</w:t>
      </w:r>
      <w:r>
        <w:rPr>
          <w:rFonts w:hint="eastAsia" w:ascii="宋体" w:hAnsi="宋体" w:cs="Segoe UI"/>
          <w:kern w:val="0"/>
          <w:sz w:val="24"/>
        </w:rPr>
        <w:t>。学</w:t>
      </w:r>
      <w:r>
        <w:rPr>
          <w:rFonts w:hint="eastAsia" w:ascii="宋体" w:hAnsi="宋体" w:cs="Segoe UI"/>
          <w:kern w:val="0"/>
          <w:sz w:val="24"/>
          <w:lang w:val="en-US" w:eastAsia="zh-CN"/>
        </w:rPr>
        <w:t>院</w:t>
      </w:r>
      <w:r>
        <w:rPr>
          <w:rFonts w:hint="eastAsia" w:ascii="宋体" w:hAnsi="宋体" w:cs="Segoe UI"/>
          <w:kern w:val="0"/>
          <w:sz w:val="24"/>
        </w:rPr>
        <w:t>采取统一订购教材，学生自主购买，不得使用盗版教材或无教材上课。为促进</w:t>
      </w:r>
      <w:r>
        <w:rPr>
          <w:rFonts w:ascii="宋体" w:hAnsi="宋体" w:cs="Segoe UI"/>
          <w:kern w:val="0"/>
          <w:sz w:val="24"/>
        </w:rPr>
        <w:t>教材建设，</w:t>
      </w:r>
      <w:r>
        <w:rPr>
          <w:rFonts w:hint="eastAsia" w:ascii="宋体" w:hAnsi="宋体" w:cs="Segoe UI"/>
          <w:kern w:val="0"/>
          <w:sz w:val="24"/>
        </w:rPr>
        <w:t>学</w:t>
      </w:r>
      <w:r>
        <w:rPr>
          <w:rFonts w:hint="eastAsia" w:ascii="宋体" w:hAnsi="宋体" w:cs="Segoe UI"/>
          <w:kern w:val="0"/>
          <w:sz w:val="24"/>
          <w:lang w:val="en-US" w:eastAsia="zh-CN"/>
        </w:rPr>
        <w:t>院</w:t>
      </w:r>
      <w:r>
        <w:rPr>
          <w:rFonts w:hint="eastAsia" w:ascii="宋体" w:hAnsi="宋体" w:cs="Segoe UI"/>
          <w:kern w:val="0"/>
          <w:sz w:val="24"/>
        </w:rPr>
        <w:t>设立教材建设专项经费，鼓励支持编写高水平、特色教材。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Segoe UI"/>
          <w:kern w:val="0"/>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黑体" w:hAnsi="黑体" w:eastAsia="黑体" w:cs="黑体"/>
          <w:b w:val="0"/>
          <w:bCs/>
          <w:kern w:val="0"/>
          <w:sz w:val="28"/>
          <w:szCs w:val="28"/>
        </w:rPr>
      </w:pPr>
      <w:r>
        <w:rPr>
          <w:rFonts w:hint="eastAsia" w:ascii="黑体" w:hAnsi="黑体" w:eastAsia="黑体" w:cs="黑体"/>
          <w:b w:val="0"/>
          <w:bCs/>
          <w:kern w:val="0"/>
          <w:sz w:val="28"/>
          <w:szCs w:val="28"/>
        </w:rPr>
        <w:t>（七）教学改革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r>
        <w:rPr>
          <w:rFonts w:hint="eastAsia" w:ascii="宋体" w:hAnsi="宋体"/>
          <w:sz w:val="24"/>
        </w:rPr>
        <w:t>学院坚持走提高教育质量为核心的内涵式发展道路，以教育教学改革为发展动力，以内涵建设为根本，扎实推进教育教学工作，具体举措有：以专业综合改革为契机，改革人才培养模式，创新教学方法；以课程体系和教学内容改革为重点，推进教育教学改革项目的系统实施；以提高教师教学能力为突破点，积极开展教师教学能力培养工作；以构建多元化学业评价体系为目标，推进课程考核方式改革。同时，积极组织开展院级青年教师讲课比赛和学生讲课比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r>
        <w:rPr>
          <w:rFonts w:hint="eastAsia" w:ascii="宋体" w:hAnsi="宋体"/>
          <w:sz w:val="24"/>
        </w:rPr>
        <w:t>稳步推进素质化考试改革。考试改革一直坚持以执业准入为导向，积极推进了能力素质并重的终结性和形成性评价并行的多形式学业评价体系。从 2013 年 6 月开始，学</w:t>
      </w:r>
      <w:r>
        <w:rPr>
          <w:rFonts w:hint="eastAsia" w:ascii="宋体" w:hAnsi="宋体"/>
          <w:sz w:val="24"/>
          <w:lang w:val="en-US" w:eastAsia="zh-CN"/>
        </w:rPr>
        <w:t>院</w:t>
      </w:r>
      <w:r>
        <w:rPr>
          <w:rFonts w:hint="eastAsia" w:ascii="宋体" w:hAnsi="宋体"/>
          <w:sz w:val="24"/>
        </w:rPr>
        <w:t>就已全面启动课程考试方式改革试点工作，并制订了《遵义医学院医学与科技学院课程考核改革方案》，通过考试方法的改革引导教学工作重点真正落实到学生能力的培养和自身素质的提高，充分发挥课程考试在教学中的引导、评价、反馈和激励作用，调动学生在整个课程学习过程中的参与性、主动性和自觉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r>
        <w:rPr>
          <w:rFonts w:hint="eastAsia" w:ascii="宋体" w:hAnsi="宋体"/>
          <w:sz w:val="24"/>
        </w:rPr>
        <w:t>着力推进多元化考试改革。根据不同课程的性质与特点，探索适合课程教学实际的考试方式，如部分课程实行平时成绩（作业、综述、课后总结、小组讨论、小组答辩、课件制作等）+开卷考试，平时成绩+实践技能考试，平时成绩+撰写论文+课件制作等其它方式的考试形式。</w:t>
      </w:r>
    </w:p>
    <w:p>
      <w:pPr>
        <w:ind w:firstLine="360" w:firstLineChars="150"/>
        <w:rPr>
          <w:rFonts w:hint="eastAsia" w:ascii="宋体" w:hAnsi="宋体"/>
          <w:sz w:val="24"/>
        </w:rPr>
      </w:pPr>
    </w:p>
    <w:p>
      <w:pPr>
        <w:rPr>
          <w:rFonts w:hint="eastAsia" w:ascii="宋体" w:hAnsi="宋体" w:eastAsia="宋体"/>
          <w:sz w:val="24"/>
          <w:lang w:val="en-US" w:eastAsia="zh-CN"/>
        </w:rPr>
      </w:pPr>
    </w:p>
    <w:p>
      <w:pPr>
        <w:rPr>
          <w:rFonts w:hint="eastAsia" w:ascii="黑体" w:hAnsi="黑体" w:eastAsia="黑体" w:cs="黑体"/>
          <w:b w:val="0"/>
          <w:bCs/>
          <w:kern w:val="0"/>
          <w:sz w:val="30"/>
          <w:szCs w:val="30"/>
        </w:rPr>
      </w:pPr>
      <w:r>
        <w:rPr>
          <w:rFonts w:hint="eastAsia" w:ascii="黑体" w:hAnsi="黑体" w:eastAsia="黑体" w:cs="黑体"/>
          <w:b w:val="0"/>
          <w:bCs/>
          <w:kern w:val="0"/>
          <w:sz w:val="30"/>
          <w:szCs w:val="30"/>
        </w:rPr>
        <w:t>四、</w:t>
      </w:r>
      <w:r>
        <w:rPr>
          <w:rFonts w:hint="eastAsia" w:ascii="黑体" w:hAnsi="黑体" w:eastAsia="黑体" w:cs="黑体"/>
          <w:b w:val="0"/>
          <w:bCs/>
          <w:kern w:val="0"/>
          <w:sz w:val="30"/>
          <w:szCs w:val="30"/>
          <w:lang w:val="en-US" w:eastAsia="zh-CN"/>
        </w:rPr>
        <w:t>专业培养能力</w:t>
      </w:r>
      <w:r>
        <w:rPr>
          <w:rFonts w:hint="eastAsia" w:ascii="黑体" w:hAnsi="黑体" w:eastAsia="黑体" w:cs="黑体"/>
          <w:b w:val="0"/>
          <w:bCs/>
          <w:kern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rPr>
        <w:t>（</w:t>
      </w:r>
      <w:r>
        <w:rPr>
          <w:rFonts w:hint="eastAsia" w:ascii="黑体" w:hAnsi="黑体" w:eastAsia="黑体" w:cs="黑体"/>
          <w:b w:val="0"/>
          <w:bCs/>
          <w:kern w:val="0"/>
          <w:sz w:val="28"/>
          <w:szCs w:val="28"/>
          <w:lang w:val="en-US" w:eastAsia="zh-CN"/>
        </w:rPr>
        <w:t>一</w:t>
      </w:r>
      <w:r>
        <w:rPr>
          <w:rFonts w:hint="eastAsia" w:ascii="黑体" w:hAnsi="黑体" w:eastAsia="黑体" w:cs="黑体"/>
          <w:b w:val="0"/>
          <w:bCs/>
          <w:kern w:val="0"/>
          <w:sz w:val="28"/>
          <w:szCs w:val="28"/>
        </w:rPr>
        <w:t>）专业</w:t>
      </w:r>
      <w:r>
        <w:rPr>
          <w:rFonts w:hint="eastAsia" w:ascii="黑体" w:hAnsi="黑体" w:eastAsia="黑体" w:cs="黑体"/>
          <w:b w:val="0"/>
          <w:bCs/>
          <w:kern w:val="0"/>
          <w:sz w:val="28"/>
          <w:szCs w:val="28"/>
          <w:lang w:val="en-US" w:eastAsia="zh-CN"/>
        </w:rPr>
        <w:t>培养目标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宋体" w:hAnsi="宋体"/>
          <w:sz w:val="24"/>
        </w:rPr>
      </w:pPr>
      <w:r>
        <w:rPr>
          <w:rFonts w:ascii="宋体" w:hAnsi="宋体"/>
          <w:sz w:val="24"/>
        </w:rPr>
        <w:t>在长期的办学过程中，我院形成了“以社会需求为导向，以课程建设为核心”的专业建设指导思想，科学规划专业建设工作，根据国情、省情和院情，以需求为导向，加强专业结构调整，优化专业结构与布局。现已建成涵盖6大学科门类的18个本科专业</w:t>
      </w:r>
      <w:r>
        <w:rPr>
          <w:rFonts w:hint="eastAsia" w:ascii="宋体" w:hAnsi="宋体"/>
          <w:sz w:val="24"/>
          <w:lang w:eastAsia="zh-CN"/>
        </w:rPr>
        <w:t>，</w:t>
      </w:r>
      <w:r>
        <w:rPr>
          <w:rFonts w:ascii="宋体" w:hAnsi="宋体"/>
          <w:sz w:val="24"/>
        </w:rPr>
        <w:t>其中我院临床医学专业为贵州省特色专业。</w:t>
      </w:r>
    </w:p>
    <w:p>
      <w:pPr>
        <w:ind w:firstLine="600" w:firstLineChars="250"/>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黑体" w:hAnsi="黑体" w:eastAsia="黑体" w:cs="黑体"/>
          <w:b w:val="0"/>
          <w:bCs/>
          <w:kern w:val="0"/>
          <w:sz w:val="28"/>
          <w:szCs w:val="28"/>
        </w:rPr>
      </w:pPr>
      <w:r>
        <w:rPr>
          <w:rFonts w:hint="eastAsia" w:ascii="黑体" w:hAnsi="黑体" w:eastAsia="黑体" w:cs="黑体"/>
          <w:b w:val="0"/>
          <w:bCs/>
          <w:kern w:val="0"/>
          <w:sz w:val="28"/>
          <w:szCs w:val="28"/>
        </w:rPr>
        <w:t>（</w:t>
      </w:r>
      <w:r>
        <w:rPr>
          <w:rFonts w:hint="eastAsia" w:ascii="黑体" w:hAnsi="黑体" w:eastAsia="黑体" w:cs="黑体"/>
          <w:b w:val="0"/>
          <w:bCs/>
          <w:kern w:val="0"/>
          <w:sz w:val="28"/>
          <w:szCs w:val="28"/>
          <w:lang w:val="en-US" w:eastAsia="zh-CN"/>
        </w:rPr>
        <w:t>二</w:t>
      </w:r>
      <w:r>
        <w:rPr>
          <w:rFonts w:hint="eastAsia" w:ascii="黑体" w:hAnsi="黑体" w:eastAsia="黑体" w:cs="黑体"/>
          <w:b w:val="0"/>
          <w:bCs/>
          <w:kern w:val="0"/>
          <w:sz w:val="28"/>
          <w:szCs w:val="28"/>
        </w:rPr>
        <w:t>）教学条件</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b w:val="0"/>
          <w:bCs/>
          <w:kern w:val="0"/>
          <w:sz w:val="24"/>
          <w:lang w:val="en-US" w:eastAsia="zh-CN"/>
        </w:rPr>
      </w:pPr>
      <w:r>
        <w:rPr>
          <w:rFonts w:hint="eastAsia" w:ascii="黑体" w:hAnsi="黑体" w:eastAsia="黑体" w:cs="黑体"/>
          <w:b w:val="0"/>
          <w:bCs/>
          <w:kern w:val="0"/>
          <w:sz w:val="24"/>
          <w:lang w:val="en-US" w:eastAsia="zh-CN"/>
        </w:rPr>
        <w:t>1.教学用房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z w:val="24"/>
        </w:rPr>
      </w:pPr>
      <w:r>
        <w:rPr>
          <w:rFonts w:hint="eastAsia" w:ascii="宋体" w:hAnsi="宋体" w:cs="宋体"/>
          <w:sz w:val="24"/>
          <w:lang w:bidi="ar"/>
        </w:rPr>
        <w:t>1、土地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z w:val="24"/>
        </w:rPr>
      </w:pPr>
      <w:r>
        <w:rPr>
          <w:rFonts w:hint="eastAsia" w:ascii="宋体" w:hAnsi="宋体" w:cs="宋体"/>
          <w:sz w:val="24"/>
          <w:lang w:bidi="ar"/>
        </w:rPr>
        <w:t>学院占地面积</w:t>
      </w:r>
      <w:r>
        <w:rPr>
          <w:rFonts w:hint="eastAsia" w:ascii="宋体" w:hAnsi="宋体"/>
          <w:sz w:val="24"/>
          <w:lang w:bidi="ar"/>
        </w:rPr>
        <w:t>500</w:t>
      </w:r>
      <w:r>
        <w:rPr>
          <w:rFonts w:hint="eastAsia" w:ascii="宋体" w:hAnsi="宋体" w:cs="宋体"/>
          <w:sz w:val="24"/>
          <w:lang w:bidi="ar"/>
        </w:rPr>
        <w:t>余亩。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z w:val="24"/>
        </w:rPr>
      </w:pPr>
      <w:r>
        <w:rPr>
          <w:rFonts w:hint="eastAsia" w:ascii="宋体" w:hAnsi="宋体" w:cs="宋体"/>
          <w:sz w:val="24"/>
          <w:lang w:bidi="ar"/>
        </w:rPr>
        <w:t>2、教学用房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Segoe UI"/>
          <w:kern w:val="0"/>
          <w:sz w:val="24"/>
        </w:rPr>
      </w:pPr>
      <w:r>
        <w:rPr>
          <w:rFonts w:hint="eastAsia" w:ascii="宋体" w:hAnsi="宋体" w:cs="宋体"/>
          <w:sz w:val="24"/>
          <w:lang w:bidi="ar"/>
        </w:rPr>
        <w:t>学院现有教学行政用房面积4</w:t>
      </w:r>
      <w:r>
        <w:rPr>
          <w:rFonts w:hint="eastAsia" w:ascii="宋体" w:hAnsi="宋体" w:cs="宋体"/>
          <w:sz w:val="24"/>
          <w:lang w:val="en-US" w:eastAsia="zh-CN" w:bidi="ar"/>
        </w:rPr>
        <w:t>6171.69</w:t>
      </w:r>
      <w:r>
        <w:rPr>
          <w:rFonts w:hint="eastAsia" w:ascii="宋体" w:hAnsi="宋体" w:cs="宋体"/>
          <w:sz w:val="24"/>
          <w:lang w:bidi="ar"/>
        </w:rPr>
        <w:t>m</w:t>
      </w:r>
      <w:r>
        <w:rPr>
          <w:rFonts w:hint="eastAsia" w:ascii="宋体" w:hAnsi="宋体" w:cs="宋体"/>
          <w:sz w:val="24"/>
          <w:vertAlign w:val="superscript"/>
          <w:lang w:bidi="ar"/>
        </w:rPr>
        <w:t>2</w:t>
      </w:r>
      <w:r>
        <w:rPr>
          <w:rFonts w:hint="eastAsia" w:ascii="宋体" w:hAnsi="宋体" w:cs="宋体"/>
          <w:sz w:val="24"/>
          <w:lang w:bidi="ar"/>
        </w:rPr>
        <w:t>，生均教学行政用房面积</w:t>
      </w:r>
      <w:r>
        <w:rPr>
          <w:rFonts w:hint="eastAsia" w:ascii="宋体" w:hAnsi="宋体" w:cs="宋体"/>
          <w:sz w:val="24"/>
          <w:lang w:val="en-US" w:eastAsia="zh-CN" w:bidi="ar"/>
        </w:rPr>
        <w:t>15.4</w:t>
      </w:r>
      <w:r>
        <w:rPr>
          <w:rFonts w:hint="eastAsia" w:ascii="宋体" w:hAnsi="宋体" w:cs="宋体"/>
          <w:sz w:val="24"/>
          <w:lang w:bidi="ar"/>
        </w:rPr>
        <w:t>m</w:t>
      </w:r>
      <w:r>
        <w:rPr>
          <w:rFonts w:hint="eastAsia" w:ascii="宋体" w:hAnsi="宋体" w:cs="宋体"/>
          <w:sz w:val="24"/>
          <w:vertAlign w:val="superscript"/>
          <w:lang w:bidi="ar"/>
        </w:rPr>
        <w:t>2</w:t>
      </w:r>
      <w:r>
        <w:rPr>
          <w:rFonts w:hint="eastAsia" w:ascii="宋体" w:hAnsi="宋体" w:cs="宋体"/>
          <w:sz w:val="24"/>
          <w:lang w:bidi="ar"/>
        </w:rPr>
        <w:t>，其中生均实验室面积</w:t>
      </w:r>
      <w:r>
        <w:rPr>
          <w:rFonts w:hint="eastAsia" w:ascii="宋体" w:hAnsi="宋体" w:cs="宋体"/>
          <w:sz w:val="24"/>
          <w:lang w:val="en-US" w:eastAsia="zh-CN" w:bidi="ar"/>
        </w:rPr>
        <w:t>8.1</w:t>
      </w:r>
      <w:r>
        <w:rPr>
          <w:rFonts w:hint="eastAsia" w:ascii="宋体" w:hAnsi="宋体" w:cs="宋体"/>
          <w:sz w:val="24"/>
          <w:lang w:bidi="ar"/>
        </w:rPr>
        <w:t>m</w:t>
      </w:r>
      <w:r>
        <w:rPr>
          <w:rFonts w:hint="eastAsia" w:ascii="宋体" w:hAnsi="宋体" w:cs="宋体"/>
          <w:sz w:val="24"/>
          <w:vertAlign w:val="superscript"/>
          <w:lang w:bidi="ar"/>
        </w:rPr>
        <w:t>2</w:t>
      </w:r>
      <w:r>
        <w:rPr>
          <w:rFonts w:hint="eastAsia" w:ascii="宋体" w:hAnsi="宋体" w:cs="宋体"/>
          <w:sz w:val="24"/>
          <w:lang w:bidi="ar"/>
        </w:rPr>
        <w:t>，生均宿舍面积</w:t>
      </w:r>
      <w:r>
        <w:rPr>
          <w:rFonts w:hint="eastAsia" w:ascii="宋体" w:hAnsi="宋体" w:cs="宋体"/>
          <w:sz w:val="24"/>
          <w:lang w:val="en-US" w:eastAsia="zh-CN" w:bidi="ar"/>
        </w:rPr>
        <w:t>19.3</w:t>
      </w:r>
      <w:r>
        <w:rPr>
          <w:rFonts w:hint="eastAsia" w:ascii="宋体" w:hAnsi="宋体" w:cs="宋体"/>
          <w:sz w:val="24"/>
          <w:lang w:bidi="ar"/>
        </w:rPr>
        <w:t xml:space="preserve"> m</w:t>
      </w:r>
      <w:r>
        <w:rPr>
          <w:rFonts w:hint="eastAsia" w:ascii="宋体" w:hAnsi="宋体" w:cs="宋体"/>
          <w:sz w:val="24"/>
          <w:vertAlign w:val="superscript"/>
          <w:lang w:bidi="ar"/>
        </w:rPr>
        <w:t>2</w:t>
      </w:r>
      <w:r>
        <w:rPr>
          <w:rFonts w:hint="eastAsia" w:ascii="宋体" w:hAnsi="宋体" w:cs="宋体"/>
          <w:sz w:val="24"/>
          <w:lang w:bidi="ar"/>
        </w:rPr>
        <w:t>。</w:t>
      </w:r>
      <w:r>
        <w:rPr>
          <w:rFonts w:hint="eastAsia" w:ascii="宋体" w:hAnsi="宋体" w:cs="Segoe UI"/>
          <w:kern w:val="0"/>
          <w:sz w:val="24"/>
        </w:rPr>
        <w:t>教学行政用房充分保证学院本科生教学需要，房屋质量安全，房屋资源分配、布局合理，教学利用率高，为学院本科生教学提供硬件平台良好，办学效益高。</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b w:val="0"/>
          <w:bCs/>
          <w:kern w:val="0"/>
          <w:sz w:val="24"/>
          <w:lang w:val="en-US" w:eastAsia="zh-CN"/>
        </w:rPr>
      </w:pPr>
      <w:r>
        <w:rPr>
          <w:rFonts w:hint="eastAsia" w:ascii="黑体" w:hAnsi="黑体" w:eastAsia="黑体" w:cs="黑体"/>
          <w:b w:val="0"/>
          <w:bCs/>
          <w:kern w:val="0"/>
          <w:sz w:val="24"/>
          <w:lang w:val="en-US" w:eastAsia="zh-CN"/>
        </w:rPr>
        <w:t>2.图书馆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Segoe UI"/>
          <w:b/>
          <w:kern w:val="0"/>
          <w:sz w:val="24"/>
        </w:rPr>
      </w:pPr>
      <w:r>
        <w:rPr>
          <w:rFonts w:hint="eastAsia" w:ascii="宋体" w:hAnsi="宋体"/>
          <w:sz w:val="24"/>
        </w:rPr>
        <w:t>学院图书馆</w:t>
      </w:r>
      <w:r>
        <w:rPr>
          <w:rFonts w:hint="eastAsia" w:ascii="宋体" w:hAnsi="宋体"/>
          <w:sz w:val="24"/>
          <w:lang w:val="en-US" w:eastAsia="zh-CN"/>
        </w:rPr>
        <w:t>馆</w:t>
      </w:r>
      <w:r>
        <w:rPr>
          <w:rFonts w:hint="eastAsia" w:ascii="宋体" w:hAnsi="宋体"/>
          <w:sz w:val="24"/>
        </w:rPr>
        <w:t>藏图书</w:t>
      </w:r>
      <w:r>
        <w:rPr>
          <w:rFonts w:hint="eastAsia" w:ascii="宋体" w:hAnsi="宋体"/>
          <w:sz w:val="24"/>
          <w:lang w:val="en-US" w:eastAsia="zh-CN"/>
        </w:rPr>
        <w:t>25</w:t>
      </w:r>
      <w:r>
        <w:rPr>
          <w:rFonts w:ascii="宋体" w:hAnsi="宋体"/>
          <w:sz w:val="24"/>
        </w:rPr>
        <w:t>余</w:t>
      </w:r>
      <w:r>
        <w:rPr>
          <w:rFonts w:hint="eastAsia" w:ascii="宋体" w:hAnsi="宋体"/>
          <w:sz w:val="24"/>
        </w:rPr>
        <w:t>万册。与母体学校共享中国知网、重庆维普、万方、SCIE、CBM、CMCC、MEDLINE、OVID LWW、BIOSIS Previews及自建学位论文、医学教学视频、信息简报等数据库。网络资源24 小时开放，纸质图书开架率100%，WIFI 全覆盖，能满足学生自主学习的需要。</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b w:val="0"/>
          <w:bCs/>
          <w:kern w:val="0"/>
          <w:sz w:val="24"/>
          <w:lang w:val="en-US" w:eastAsia="zh-CN"/>
        </w:rPr>
      </w:pPr>
      <w:r>
        <w:rPr>
          <w:rFonts w:hint="eastAsia" w:ascii="黑体" w:hAnsi="黑体" w:eastAsia="黑体" w:cs="黑体"/>
          <w:b w:val="0"/>
          <w:bCs/>
          <w:kern w:val="0"/>
          <w:sz w:val="24"/>
          <w:lang w:val="en-US" w:eastAsia="zh-CN"/>
        </w:rPr>
        <w:t>3.仪器设备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Segoe UI"/>
          <w:kern w:val="0"/>
          <w:sz w:val="24"/>
        </w:rPr>
      </w:pPr>
      <w:r>
        <w:rPr>
          <w:rFonts w:hint="eastAsia" w:ascii="宋体" w:hAnsi="宋体" w:cs="Segoe UI"/>
          <w:kern w:val="0"/>
          <w:sz w:val="24"/>
        </w:rPr>
        <w:t>学</w:t>
      </w:r>
      <w:r>
        <w:rPr>
          <w:rFonts w:hint="eastAsia" w:ascii="宋体" w:hAnsi="宋体" w:cs="Segoe UI"/>
          <w:kern w:val="0"/>
          <w:sz w:val="24"/>
          <w:lang w:val="en-US" w:eastAsia="zh-CN"/>
        </w:rPr>
        <w:t>院</w:t>
      </w:r>
      <w:r>
        <w:rPr>
          <w:rFonts w:hint="eastAsia" w:ascii="宋体" w:hAnsi="宋体" w:cs="Segoe UI"/>
          <w:kern w:val="0"/>
          <w:sz w:val="24"/>
        </w:rPr>
        <w:t>现有教学科研仪器设备总值</w:t>
      </w:r>
      <w:r>
        <w:rPr>
          <w:rFonts w:hint="eastAsia" w:ascii="宋体" w:hAnsi="宋体" w:cs="Segoe UI"/>
          <w:kern w:val="0"/>
          <w:sz w:val="24"/>
          <w:lang w:val="en-US" w:eastAsia="zh-CN"/>
        </w:rPr>
        <w:t>1235</w:t>
      </w:r>
      <w:r>
        <w:rPr>
          <w:rFonts w:hint="eastAsia" w:ascii="宋体" w:hAnsi="宋体" w:cs="Segoe UI"/>
          <w:kern w:val="0"/>
          <w:sz w:val="24"/>
        </w:rPr>
        <w:t>万元，生均教学科研仪器设备值为0.</w:t>
      </w:r>
      <w:r>
        <w:rPr>
          <w:rFonts w:hint="eastAsia" w:ascii="宋体" w:hAnsi="宋体" w:cs="Segoe UI"/>
          <w:kern w:val="0"/>
          <w:sz w:val="24"/>
          <w:lang w:val="en-US" w:eastAsia="zh-CN"/>
        </w:rPr>
        <w:t>4117</w:t>
      </w:r>
      <w:r>
        <w:rPr>
          <w:rFonts w:hint="eastAsia" w:ascii="宋体" w:hAnsi="宋体" w:cs="Segoe UI"/>
          <w:kern w:val="0"/>
          <w:sz w:val="24"/>
        </w:rPr>
        <w:t>万元，201</w:t>
      </w:r>
      <w:r>
        <w:rPr>
          <w:rFonts w:hint="eastAsia" w:ascii="宋体" w:hAnsi="宋体" w:cs="Segoe UI"/>
          <w:kern w:val="0"/>
          <w:sz w:val="24"/>
          <w:lang w:val="en-US" w:eastAsia="zh-CN"/>
        </w:rPr>
        <w:t>7</w:t>
      </w:r>
      <w:r>
        <w:rPr>
          <w:rFonts w:hint="eastAsia" w:ascii="宋体" w:hAnsi="宋体" w:cs="Segoe UI"/>
          <w:kern w:val="0"/>
          <w:sz w:val="24"/>
        </w:rPr>
        <w:t>-201</w:t>
      </w:r>
      <w:r>
        <w:rPr>
          <w:rFonts w:hint="eastAsia" w:ascii="宋体" w:hAnsi="宋体" w:cs="Segoe UI"/>
          <w:kern w:val="0"/>
          <w:sz w:val="24"/>
          <w:lang w:val="en-US" w:eastAsia="zh-CN"/>
        </w:rPr>
        <w:t>8</w:t>
      </w:r>
      <w:r>
        <w:rPr>
          <w:rFonts w:hint="eastAsia" w:ascii="宋体" w:hAnsi="宋体" w:cs="Segoe UI"/>
          <w:kern w:val="0"/>
          <w:sz w:val="24"/>
        </w:rPr>
        <w:t>学年新增教学科研设备值为</w:t>
      </w:r>
      <w:r>
        <w:rPr>
          <w:rFonts w:hint="eastAsia" w:ascii="宋体" w:hAnsi="宋体" w:cs="Segoe UI"/>
          <w:kern w:val="0"/>
          <w:sz w:val="24"/>
          <w:lang w:val="en-US" w:eastAsia="zh-CN"/>
        </w:rPr>
        <w:t>1235</w:t>
      </w:r>
      <w:r>
        <w:rPr>
          <w:rFonts w:hint="eastAsia" w:ascii="宋体" w:hAnsi="宋体" w:cs="Segoe UI"/>
          <w:kern w:val="0"/>
          <w:sz w:val="24"/>
        </w:rPr>
        <w:t>万元，增长</w:t>
      </w:r>
      <w:r>
        <w:rPr>
          <w:rFonts w:hint="eastAsia" w:ascii="宋体" w:hAnsi="宋体" w:cs="Segoe UI"/>
          <w:kern w:val="0"/>
          <w:sz w:val="24"/>
          <w:lang w:val="en-US" w:eastAsia="zh-CN"/>
        </w:rPr>
        <w:t>100</w:t>
      </w:r>
      <w:r>
        <w:rPr>
          <w:rFonts w:hint="eastAsia" w:ascii="宋体" w:hAnsi="宋体" w:cs="Segoe UI"/>
          <w:kern w:val="0"/>
          <w:sz w:val="24"/>
        </w:rPr>
        <w:t>%。</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b w:val="0"/>
          <w:bCs/>
          <w:kern w:val="0"/>
          <w:sz w:val="24"/>
          <w:lang w:val="en-US" w:eastAsia="zh-CN"/>
        </w:rPr>
      </w:pPr>
      <w:r>
        <w:rPr>
          <w:rFonts w:hint="eastAsia" w:ascii="黑体" w:hAnsi="黑体" w:eastAsia="黑体" w:cs="黑体"/>
          <w:b w:val="0"/>
          <w:bCs/>
          <w:kern w:val="0"/>
          <w:sz w:val="24"/>
          <w:lang w:val="en-US" w:eastAsia="zh-CN"/>
        </w:rPr>
        <w:t>4.网络与数字化资源建设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Segoe UI"/>
          <w:kern w:val="0"/>
          <w:sz w:val="24"/>
        </w:rPr>
      </w:pPr>
      <w:r>
        <w:rPr>
          <w:rFonts w:hint="eastAsia" w:ascii="宋体" w:hAnsi="宋体" w:cs="Segoe UI"/>
          <w:kern w:val="0"/>
          <w:sz w:val="24"/>
        </w:rPr>
        <w:t>随着互联网和大数据时代的来临，学</w:t>
      </w:r>
      <w:r>
        <w:rPr>
          <w:rFonts w:hint="eastAsia" w:ascii="宋体" w:hAnsi="宋体" w:cs="Segoe UI"/>
          <w:kern w:val="0"/>
          <w:sz w:val="24"/>
          <w:lang w:val="en-US" w:eastAsia="zh-CN"/>
        </w:rPr>
        <w:t>院</w:t>
      </w:r>
      <w:r>
        <w:rPr>
          <w:rFonts w:hint="eastAsia" w:ascii="宋体" w:hAnsi="宋体" w:cs="Segoe UI"/>
          <w:kern w:val="0"/>
          <w:sz w:val="24"/>
        </w:rPr>
        <w:t>校园网进行了升级改造。目前校园网采用了万兆双核心、汇聚双万兆上联骨干网络，实现了全部用户百兆、千兆到桌面，覆盖了全院办公区、教学区、宿舍区。</w:t>
      </w:r>
    </w:p>
    <w:p>
      <w:pPr>
        <w:ind w:firstLine="600" w:firstLineChars="250"/>
        <w:rPr>
          <w:rFonts w:hint="eastAsia" w:ascii="宋体" w:hAnsi="宋体" w:cs="Segoe UI"/>
          <w:kern w:val="0"/>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（三）人才培养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Segoe UI"/>
          <w:kern w:val="0"/>
          <w:sz w:val="24"/>
        </w:rPr>
      </w:pPr>
      <w:r>
        <w:rPr>
          <w:rFonts w:hint="eastAsia" w:ascii="宋体" w:hAnsi="宋体" w:cs="Segoe UI"/>
          <w:kern w:val="0"/>
          <w:sz w:val="24"/>
        </w:rPr>
        <w:t>结合地方经济社会发展的需要，突出基础扎实、动手能力强、综合素质高的人才培养特点，为地方培养技术精、素质高的应用型人才。以通识教育为基础，学科培养为优势，构建学生合理的知识结构；以专业教育为本位，构建学生应用知识和技能解决实际问题的能力；以素质教育为核心，构建学生终身学习和继续发展的潜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Segoe UI"/>
          <w:kern w:val="0"/>
          <w:sz w:val="24"/>
        </w:rPr>
      </w:pPr>
      <w:r>
        <w:rPr>
          <w:rFonts w:hint="eastAsia" w:ascii="宋体" w:hAnsi="宋体" w:cs="Segoe UI"/>
          <w:kern w:val="0"/>
          <w:sz w:val="24"/>
        </w:rPr>
        <w:t>服务面向定位：坚持立足遵义，面向全省，以市场需求为导向，逐步辐射全国，为区域经济建设和社会发展服务。</w:t>
      </w:r>
    </w:p>
    <w:p>
      <w:pPr>
        <w:numPr>
          <w:ilvl w:val="0"/>
          <w:numId w:val="0"/>
        </w:numPr>
        <w:rPr>
          <w:rFonts w:hint="eastAsia" w:ascii="宋体" w:hAnsi="宋体" w:cs="Segoe UI"/>
          <w:b/>
          <w:kern w:val="0"/>
          <w:sz w:val="24"/>
          <w:lang w:val="en-US" w:eastAsia="zh-CN"/>
        </w:rPr>
      </w:pPr>
    </w:p>
    <w:p>
      <w:pPr>
        <w:rPr>
          <w:rFonts w:hint="eastAsia" w:ascii="宋体" w:hAnsi="宋体"/>
          <w:sz w:val="24"/>
        </w:rPr>
      </w:pPr>
    </w:p>
    <w:p>
      <w:pPr>
        <w:rPr>
          <w:rFonts w:hint="eastAsia" w:ascii="宋体" w:hAnsi="宋体"/>
          <w:sz w:val="24"/>
        </w:rPr>
      </w:pPr>
      <w:r>
        <w:rPr>
          <w:rFonts w:hint="eastAsia" w:ascii="黑体" w:hAnsi="黑体" w:eastAsia="黑体" w:cs="黑体"/>
          <w:b w:val="0"/>
          <w:bCs/>
          <w:kern w:val="0"/>
          <w:sz w:val="30"/>
          <w:szCs w:val="30"/>
          <w:lang w:eastAsia="zh-CN"/>
        </w:rPr>
        <w:t>五</w:t>
      </w:r>
      <w:r>
        <w:rPr>
          <w:rFonts w:hint="eastAsia" w:ascii="黑体" w:hAnsi="黑体" w:eastAsia="黑体" w:cs="黑体"/>
          <w:b w:val="0"/>
          <w:bCs/>
          <w:kern w:val="0"/>
          <w:sz w:val="30"/>
          <w:szCs w:val="30"/>
        </w:rPr>
        <w:t xml:space="preserve">、质量保障体系 </w:t>
      </w: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sz w:val="24"/>
        </w:rPr>
      </w:pPr>
      <w:r>
        <w:rPr>
          <w:rFonts w:hint="eastAsia" w:ascii="黑体" w:hAnsi="黑体" w:eastAsia="黑体" w:cs="黑体"/>
          <w:b w:val="0"/>
          <w:bCs/>
          <w:kern w:val="0"/>
          <w:sz w:val="28"/>
          <w:szCs w:val="28"/>
          <w:lang w:val="en-US" w:eastAsia="zh-CN"/>
        </w:rPr>
        <w:t>（一）日常监控及运行情况</w:t>
      </w:r>
      <w:r>
        <w:rPr>
          <w:rFonts w:hint="eastAsia" w:ascii="黑体" w:hAnsi="黑体" w:eastAsia="黑体" w:cs="黑体"/>
          <w:b w:val="0"/>
          <w:bCs/>
          <w:kern w:val="0"/>
          <w:sz w:val="24"/>
          <w:lang w:val="en-US" w:eastAsia="zh-CN"/>
        </w:rPr>
        <w:t xml:space="preserve"> </w:t>
      </w: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r>
        <w:rPr>
          <w:rFonts w:hint="eastAsia" w:ascii="宋体" w:hAnsi="宋体"/>
          <w:sz w:val="24"/>
        </w:rPr>
        <w:t>明确职责，提高认识，齐抓共管，努力营造有利于学生勤奋好学、健康成长的社会文化环境。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r>
        <w:rPr>
          <w:rFonts w:hint="eastAsia" w:ascii="宋体" w:hAnsi="宋体"/>
          <w:sz w:val="24"/>
        </w:rPr>
        <w:t>一是坚持依法治考原则，严格执行国家教育方针政策、法律法规和有关规定，2017年根据</w:t>
      </w:r>
      <w:r>
        <w:rPr>
          <w:rFonts w:ascii="宋体" w:hAnsi="宋体"/>
          <w:sz w:val="24"/>
        </w:rPr>
        <w:fldChar w:fldCharType="begin"/>
      </w:r>
      <w:r>
        <w:rPr>
          <w:rFonts w:ascii="宋体" w:hAnsi="宋体"/>
          <w:sz w:val="24"/>
        </w:rPr>
        <w:instrText xml:space="preserve"> HYPERLINK "http://www.baidu.com/link?url=xdflrugzhT6ehSsQsCRLMpvOXYW3hbY8l_XGbossyYxomH0TpZZJ-_JmuNAjEbxGqO6cereHcvEADIJkdTbpSq" \t "_blank" </w:instrText>
      </w:r>
      <w:r>
        <w:rPr>
          <w:rFonts w:ascii="宋体" w:hAnsi="宋体"/>
          <w:sz w:val="24"/>
        </w:rPr>
        <w:fldChar w:fldCharType="separate"/>
      </w:r>
      <w:r>
        <w:rPr>
          <w:rFonts w:ascii="宋体" w:hAnsi="宋体"/>
          <w:sz w:val="24"/>
        </w:rPr>
        <w:t>中华人民共和国刑法修正案(九)</w:t>
      </w:r>
      <w:r>
        <w:rPr>
          <w:rFonts w:ascii="宋体" w:hAnsi="宋体"/>
          <w:sz w:val="24"/>
        </w:rPr>
        <w:fldChar w:fldCharType="end"/>
      </w:r>
      <w:r>
        <w:rPr>
          <w:rFonts w:hint="eastAsia" w:ascii="宋体" w:hAnsi="宋体"/>
          <w:sz w:val="24"/>
        </w:rPr>
        <w:t>和教育部《普通高等学校学生管理规定》（简称41号令），又重新组织修订了《遵义医学院医学与科技学院考试管理办法》、《遵义医学院医学与科技学院学生违纪处分办法》、《遵义医学院医学与科技学院解除学生违纪处分办法》、《遵义医学院医学与科技学院学分制实施细则》和《遵义医学院医学与科技学院本科生转学管理办法》等多份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r>
        <w:rPr>
          <w:rFonts w:hint="eastAsia" w:ascii="宋体" w:hAnsi="宋体"/>
          <w:sz w:val="24"/>
        </w:rPr>
        <w:t>二是重视考风考纪建设，确立了以考风促学风带教风的育人导向，不仅每年新生入学教育培训会上安派专人对学生进行考风考纪宣传，要求学生签订诚信承诺书，而且每学期都会在学生工作例会上向各二级院（系）强调考风考纪建设的重要性，2016年还专门制定了《遵义医学院医学与科技学院考风考纪建设规定》保证各种考试的严肃性和公平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r>
        <w:rPr>
          <w:rFonts w:hint="eastAsia" w:ascii="宋体" w:hAnsi="宋体"/>
          <w:sz w:val="24"/>
        </w:rPr>
        <w:t>三是规范考试命题工作，严格按照教学大纲和教学要求命题，并对命题程序、内容结构、题型结构、难易程度、试题量、试卷审批、试卷印刷、试卷保密、组织考试和试卷评阅等环节提出明确要求，并制定了课程考试命题双向细目表及评分标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r>
        <w:rPr>
          <w:rFonts w:hint="eastAsia" w:ascii="宋体" w:hAnsi="宋体"/>
          <w:sz w:val="24"/>
        </w:rPr>
        <w:t>四是强化考试管理监督，确立由校</w:t>
      </w:r>
      <w:r>
        <w:rPr>
          <w:rFonts w:hint="eastAsia" w:ascii="宋体" w:hAnsi="宋体"/>
          <w:sz w:val="24"/>
          <w:lang w:val="en-US" w:eastAsia="zh-CN"/>
        </w:rPr>
        <w:t>院</w:t>
      </w:r>
      <w:r>
        <w:rPr>
          <w:rFonts w:hint="eastAsia" w:ascii="宋体" w:hAnsi="宋体"/>
          <w:sz w:val="24"/>
        </w:rPr>
        <w:t>领导带头巡察考务工作，所考课程院（系）领导担任主考，所考课程教研室主任担任副主考，教务处、学生所在院（系）、教学督导担任巡考的分工制度。组织监考和巡考人员进行考前培训并签订责任书，要求巡考人员每场考试都必须填写巡考记录表，监考人员如实登记每场考试的考场情况，考试结束后将巡考记录表和考场情况登记表返回考试中心存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r>
        <w:rPr>
          <w:rFonts w:hint="eastAsia" w:ascii="宋体" w:hAnsi="宋体"/>
          <w:sz w:val="24"/>
        </w:rPr>
        <w:t>五是加强考试环境治理，教务处、后勤管理处和保卫处等多部门合作，共同营造公平、有序、整洁的考试环境，201</w:t>
      </w:r>
      <w:r>
        <w:rPr>
          <w:rFonts w:hint="eastAsia" w:ascii="宋体" w:hAnsi="宋体"/>
          <w:sz w:val="24"/>
          <w:lang w:val="en-US" w:eastAsia="zh-CN"/>
        </w:rPr>
        <w:t>8</w:t>
      </w:r>
      <w:r>
        <w:rPr>
          <w:rFonts w:hint="eastAsia" w:ascii="宋体" w:hAnsi="宋体"/>
          <w:sz w:val="24"/>
        </w:rPr>
        <w:t>年开始凡参加重考、毕业前补考、毕业后补考的学生必须经过安检后才能进入考场参加考试，并已开通考风考纪举报电话和设置举报箱。</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宋体" w:hAnsi="宋体"/>
          <w:sz w:val="24"/>
        </w:rPr>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pPr>
      <w:r>
        <w:rPr>
          <w:rFonts w:hint="eastAsia" w:ascii="宋体" w:hAnsi="宋体"/>
          <w:sz w:val="24"/>
        </w:rPr>
        <w:t>六是实行考试质量分析，通过</w:t>
      </w:r>
      <w:r>
        <w:rPr>
          <w:rFonts w:ascii="宋体" w:hAnsi="宋体"/>
          <w:sz w:val="24"/>
        </w:rPr>
        <w:t>考试成绩、平时成绩、总评成绩、平均分、标准差、最高分、最低分、全距、以及补考和成绩分布情况</w:t>
      </w:r>
      <w:r>
        <w:rPr>
          <w:rFonts w:hint="eastAsia" w:ascii="宋体" w:hAnsi="宋体"/>
          <w:sz w:val="24"/>
        </w:rPr>
        <w:t>，结合考试问卷调查，召开教学相长会，以及学生教学信息员的反馈信息，总结教与学方面存在的问题，并提出改进措施，帮助老师在平时教学中把握好对知识的侧重点和深入度，从而保证教学质量。</w:t>
      </w:r>
    </w:p>
    <w:p>
      <w:pPr>
        <w:rPr>
          <w:rFonts w:hint="eastAsia" w:ascii="宋体" w:hAnsi="宋体" w:cs="Segoe UI"/>
          <w:b/>
          <w:kern w:val="0"/>
          <w:sz w:val="24"/>
        </w:rPr>
      </w:pPr>
    </w:p>
    <w:p>
      <w:pPr>
        <w:ind w:leftChars="-257" w:hanging="537" w:hangingChars="224"/>
        <w:rPr>
          <w:rFonts w:hint="eastAsia" w:ascii="宋体" w:hAnsi="宋体" w:cs="Segoe UI"/>
          <w:b/>
          <w:kern w:val="0"/>
          <w:sz w:val="24"/>
        </w:rPr>
      </w:pPr>
      <w:r>
        <w:rPr>
          <w:rFonts w:ascii="宋体" w:hAnsi="宋体" w:cs="Segoe UI"/>
          <w:b/>
          <w:kern w:val="0"/>
          <w:sz w:val="24"/>
        </w:rPr>
        <mc:AlternateContent>
          <mc:Choice Requires="wpg">
            <w:drawing>
              <wp:inline distT="0" distB="0" distL="114300" distR="114300">
                <wp:extent cx="9378950" cy="4677410"/>
                <wp:effectExtent l="0" t="0" r="0" b="8890"/>
                <wp:docPr id="66" name="Group 8"/>
                <wp:cNvGraphicFramePr/>
                <a:graphic xmlns:a="http://schemas.openxmlformats.org/drawingml/2006/main">
                  <a:graphicData uri="http://schemas.microsoft.com/office/word/2010/wordprocessingGroup">
                    <wpg:wgp>
                      <wpg:cNvGrpSpPr>
                        <a:grpSpLocks noRot="1"/>
                      </wpg:cNvGrpSpPr>
                      <wpg:grpSpPr>
                        <a:xfrm>
                          <a:off x="0" y="0"/>
                          <a:ext cx="9378950" cy="4677410"/>
                          <a:chOff x="0" y="0"/>
                          <a:chExt cx="14902" cy="7800"/>
                        </a:xfrm>
                      </wpg:grpSpPr>
                      <wps:wsp>
                        <wps:cNvPr id="5" name="Picture 9"/>
                        <wps:cNvSpPr>
                          <a:spLocks noChangeAspect="1" noTextEdit="1"/>
                        </wps:cNvSpPr>
                        <wps:spPr>
                          <a:xfrm>
                            <a:off x="0" y="0"/>
                            <a:ext cx="14902" cy="7800"/>
                          </a:xfrm>
                          <a:prstGeom prst="rect">
                            <a:avLst/>
                          </a:prstGeom>
                          <a:noFill/>
                          <a:ln w="9525">
                            <a:noFill/>
                          </a:ln>
                        </wps:spPr>
                        <wps:bodyPr wrap="square" upright="1"/>
                      </wps:wsp>
                      <wps:wsp>
                        <wps:cNvPr id="6" name="Line 10"/>
                        <wps:cNvSpPr/>
                        <wps:spPr>
                          <a:xfrm>
                            <a:off x="1723" y="932"/>
                            <a:ext cx="12061" cy="3"/>
                          </a:xfrm>
                          <a:prstGeom prst="line">
                            <a:avLst/>
                          </a:prstGeom>
                          <a:ln w="9525" cap="flat" cmpd="sng">
                            <a:solidFill>
                              <a:srgbClr val="000000"/>
                            </a:solidFill>
                            <a:prstDash val="solid"/>
                            <a:headEnd type="none" w="med" len="med"/>
                            <a:tailEnd type="none" w="med" len="med"/>
                          </a:ln>
                        </wps:spPr>
                        <wps:bodyPr upright="1"/>
                      </wps:wsp>
                      <wps:wsp>
                        <wps:cNvPr id="7" name="Line 11"/>
                        <wps:cNvSpPr/>
                        <wps:spPr>
                          <a:xfrm>
                            <a:off x="1723" y="951"/>
                            <a:ext cx="16" cy="177"/>
                          </a:xfrm>
                          <a:prstGeom prst="line">
                            <a:avLst/>
                          </a:prstGeom>
                          <a:ln w="9525" cap="flat" cmpd="sng">
                            <a:solidFill>
                              <a:srgbClr val="000000"/>
                            </a:solidFill>
                            <a:prstDash val="solid"/>
                            <a:headEnd type="none" w="med" len="med"/>
                            <a:tailEnd type="none" w="med" len="med"/>
                          </a:ln>
                        </wps:spPr>
                        <wps:bodyPr upright="1"/>
                      </wps:wsp>
                      <wps:wsp>
                        <wps:cNvPr id="8" name="Line 12"/>
                        <wps:cNvSpPr/>
                        <wps:spPr>
                          <a:xfrm flipH="1">
                            <a:off x="10931" y="926"/>
                            <a:ext cx="12" cy="200"/>
                          </a:xfrm>
                          <a:prstGeom prst="line">
                            <a:avLst/>
                          </a:prstGeom>
                          <a:ln w="9525" cap="flat" cmpd="sng">
                            <a:solidFill>
                              <a:srgbClr val="000000"/>
                            </a:solidFill>
                            <a:prstDash val="solid"/>
                            <a:headEnd type="none" w="med" len="med"/>
                            <a:tailEnd type="none" w="med" len="med"/>
                          </a:ln>
                        </wps:spPr>
                        <wps:bodyPr upright="1"/>
                      </wps:wsp>
                      <wps:wsp>
                        <wps:cNvPr id="9" name="Line 13"/>
                        <wps:cNvSpPr/>
                        <wps:spPr>
                          <a:xfrm flipH="1">
                            <a:off x="3688" y="970"/>
                            <a:ext cx="1" cy="187"/>
                          </a:xfrm>
                          <a:prstGeom prst="line">
                            <a:avLst/>
                          </a:prstGeom>
                          <a:ln w="9525" cap="flat" cmpd="sng">
                            <a:solidFill>
                              <a:srgbClr val="000000"/>
                            </a:solidFill>
                            <a:prstDash val="solid"/>
                            <a:headEnd type="none" w="med" len="med"/>
                            <a:tailEnd type="none" w="med" len="med"/>
                          </a:ln>
                        </wps:spPr>
                        <wps:bodyPr upright="1"/>
                      </wps:wsp>
                      <wps:wsp>
                        <wps:cNvPr id="10" name="Line 14"/>
                        <wps:cNvSpPr/>
                        <wps:spPr>
                          <a:xfrm flipH="1">
                            <a:off x="6102" y="951"/>
                            <a:ext cx="1" cy="177"/>
                          </a:xfrm>
                          <a:prstGeom prst="line">
                            <a:avLst/>
                          </a:prstGeom>
                          <a:ln w="9525" cap="flat" cmpd="sng">
                            <a:solidFill>
                              <a:srgbClr val="000000"/>
                            </a:solidFill>
                            <a:prstDash val="solid"/>
                            <a:headEnd type="none" w="med" len="med"/>
                            <a:tailEnd type="none" w="med" len="med"/>
                          </a:ln>
                        </wps:spPr>
                        <wps:bodyPr upright="1"/>
                      </wps:wsp>
                      <wps:wsp>
                        <wps:cNvPr id="11" name="Line 15"/>
                        <wps:cNvSpPr/>
                        <wps:spPr>
                          <a:xfrm flipH="1">
                            <a:off x="8442" y="951"/>
                            <a:ext cx="2" cy="177"/>
                          </a:xfrm>
                          <a:prstGeom prst="line">
                            <a:avLst/>
                          </a:prstGeom>
                          <a:ln w="9525" cap="flat" cmpd="sng">
                            <a:solidFill>
                              <a:srgbClr val="000000"/>
                            </a:solidFill>
                            <a:prstDash val="solid"/>
                            <a:headEnd type="none" w="med" len="med"/>
                            <a:tailEnd type="none" w="med" len="med"/>
                          </a:ln>
                        </wps:spPr>
                        <wps:bodyPr upright="1"/>
                      </wps:wsp>
                      <wps:wsp>
                        <wps:cNvPr id="12" name="Line 16"/>
                        <wps:cNvSpPr/>
                        <wps:spPr>
                          <a:xfrm flipH="1">
                            <a:off x="13778" y="953"/>
                            <a:ext cx="4" cy="174"/>
                          </a:xfrm>
                          <a:prstGeom prst="line">
                            <a:avLst/>
                          </a:prstGeom>
                          <a:ln w="9525" cap="flat" cmpd="sng">
                            <a:solidFill>
                              <a:srgbClr val="000000"/>
                            </a:solidFill>
                            <a:prstDash val="solid"/>
                            <a:headEnd type="none" w="med" len="med"/>
                            <a:tailEnd type="none" w="med" len="med"/>
                          </a:ln>
                        </wps:spPr>
                        <wps:bodyPr upright="1"/>
                      </wps:wsp>
                      <wps:wsp>
                        <wps:cNvPr id="13" name="Text Box 17"/>
                        <wps:cNvSpPr txBox="1"/>
                        <wps:spPr>
                          <a:xfrm>
                            <a:off x="1050" y="1180"/>
                            <a:ext cx="1583" cy="725"/>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eastAsia="黑体"/>
                                  <w:color w:val="000000"/>
                                  <w:szCs w:val="21"/>
                                </w:rPr>
                              </w:pPr>
                              <w:r>
                                <w:rPr>
                                  <w:rFonts w:hint="eastAsia" w:eastAsia="黑体"/>
                                  <w:color w:val="000000"/>
                                  <w:szCs w:val="21"/>
                                </w:rPr>
                                <w:t>理念与目标</w:t>
                              </w:r>
                            </w:p>
                            <w:p>
                              <w:pPr>
                                <w:jc w:val="center"/>
                                <w:rPr>
                                  <w:rFonts w:hint="eastAsia" w:eastAsia="黑体"/>
                                  <w:color w:val="000000"/>
                                  <w:szCs w:val="21"/>
                                </w:rPr>
                              </w:pPr>
                              <w:r>
                                <w:rPr>
                                  <w:rFonts w:hint="eastAsia" w:eastAsia="黑体"/>
                                  <w:color w:val="000000"/>
                                  <w:szCs w:val="21"/>
                                </w:rPr>
                                <w:t>系统</w:t>
                              </w:r>
                            </w:p>
                          </w:txbxContent>
                        </wps:txbx>
                        <wps:bodyPr wrap="square" upright="1"/>
                      </wps:wsp>
                      <wps:wsp>
                        <wps:cNvPr id="14" name="Text Box 18"/>
                        <wps:cNvSpPr txBox="1"/>
                        <wps:spPr>
                          <a:xfrm>
                            <a:off x="1050" y="2573"/>
                            <a:ext cx="1670" cy="3814"/>
                          </a:xfrm>
                          <a:prstGeom prst="rect">
                            <a:avLst/>
                          </a:prstGeom>
                          <a:noFill/>
                          <a:ln w="9525" cap="flat" cmpd="sng">
                            <a:solidFill>
                              <a:srgbClr val="000000"/>
                            </a:solidFill>
                            <a:prstDash val="solid"/>
                            <a:miter/>
                            <a:headEnd type="none" w="med" len="med"/>
                            <a:tailEnd type="none" w="med" len="med"/>
                          </a:ln>
                        </wps:spPr>
                        <wps:txbx>
                          <w:txbxContent>
                            <w:p>
                              <w:pPr>
                                <w:rPr>
                                  <w:rFonts w:hint="eastAsia" w:eastAsia="黑体"/>
                                  <w:color w:val="000000"/>
                                  <w:szCs w:val="21"/>
                                </w:rPr>
                              </w:pPr>
                              <w:r>
                                <w:rPr>
                                  <w:rFonts w:hint="eastAsia" w:eastAsia="黑体"/>
                                  <w:color w:val="000000"/>
                                  <w:szCs w:val="21"/>
                                </w:rPr>
                                <w:t>基本理念；</w:t>
                              </w:r>
                            </w:p>
                            <w:p>
                              <w:pPr>
                                <w:rPr>
                                  <w:rFonts w:hint="eastAsia" w:eastAsia="黑体"/>
                                  <w:color w:val="000000"/>
                                  <w:szCs w:val="21"/>
                                </w:rPr>
                              </w:pPr>
                              <w:r>
                                <w:rPr>
                                  <w:rFonts w:hint="eastAsia" w:eastAsia="黑体"/>
                                  <w:color w:val="000000"/>
                                  <w:szCs w:val="21"/>
                                </w:rPr>
                                <w:t>基本目标；</w:t>
                              </w:r>
                            </w:p>
                            <w:p>
                              <w:pPr>
                                <w:rPr>
                                  <w:rFonts w:hint="eastAsia" w:eastAsia="黑体"/>
                                  <w:color w:val="000000"/>
                                  <w:szCs w:val="21"/>
                                </w:rPr>
                              </w:pPr>
                              <w:r>
                                <w:rPr>
                                  <w:rFonts w:hint="eastAsia" w:eastAsia="黑体"/>
                                  <w:color w:val="000000"/>
                                  <w:szCs w:val="21"/>
                                </w:rPr>
                                <w:t>教学过程各主要环节质量目标；</w:t>
                              </w:r>
                            </w:p>
                            <w:p>
                              <w:pPr>
                                <w:rPr>
                                  <w:rFonts w:hint="eastAsia" w:eastAsia="黑体"/>
                                  <w:color w:val="000000"/>
                                  <w:szCs w:val="21"/>
                                </w:rPr>
                              </w:pPr>
                              <w:r>
                                <w:rPr>
                                  <w:rFonts w:hint="eastAsia" w:eastAsia="黑体"/>
                                  <w:color w:val="000000"/>
                                  <w:szCs w:val="21"/>
                                </w:rPr>
                                <w:t>影响教学质量的质量目标；</w:t>
                              </w:r>
                            </w:p>
                            <w:p>
                              <w:pPr>
                                <w:rPr>
                                  <w:rFonts w:hint="eastAsia" w:eastAsia="黑体"/>
                                  <w:color w:val="000000"/>
                                  <w:szCs w:val="21"/>
                                </w:rPr>
                              </w:pPr>
                              <w:r>
                                <w:rPr>
                                  <w:rFonts w:hint="eastAsia" w:eastAsia="黑体"/>
                                  <w:color w:val="000000"/>
                                  <w:szCs w:val="21"/>
                                </w:rPr>
                                <w:t>教学条件及教学保障的质量目标；</w:t>
                              </w:r>
                            </w:p>
                            <w:p>
                              <w:pPr>
                                <w:rPr>
                                  <w:rFonts w:hint="eastAsia" w:eastAsia="黑体"/>
                                  <w:color w:val="000000"/>
                                  <w:szCs w:val="21"/>
                                </w:rPr>
                              </w:pPr>
                            </w:p>
                          </w:txbxContent>
                        </wps:txbx>
                        <wps:bodyPr wrap="square" upright="1"/>
                      </wps:wsp>
                      <wps:wsp>
                        <wps:cNvPr id="15" name="Text Box 19"/>
                        <wps:cNvSpPr txBox="1"/>
                        <wps:spPr>
                          <a:xfrm>
                            <a:off x="2847" y="2577"/>
                            <a:ext cx="1562" cy="2224"/>
                          </a:xfrm>
                          <a:prstGeom prst="rect">
                            <a:avLst/>
                          </a:prstGeom>
                          <a:noFill/>
                          <a:ln w="9525" cap="flat" cmpd="sng">
                            <a:solidFill>
                              <a:srgbClr val="000000"/>
                            </a:solidFill>
                            <a:prstDash val="solid"/>
                            <a:miter/>
                            <a:headEnd type="none" w="med" len="med"/>
                            <a:tailEnd type="none" w="med" len="med"/>
                          </a:ln>
                        </wps:spPr>
                        <wps:txbx>
                          <w:txbxContent>
                            <w:p>
                              <w:pPr>
                                <w:rPr>
                                  <w:rFonts w:hint="eastAsia" w:eastAsia="黑体"/>
                                  <w:color w:val="000000"/>
                                  <w:szCs w:val="21"/>
                                </w:rPr>
                              </w:pPr>
                              <w:r>
                                <w:rPr>
                                  <w:rFonts w:hint="eastAsia" w:ascii="宋体" w:hAnsi="宋体" w:eastAsia="黑体"/>
                                  <w:color w:val="000000"/>
                                  <w:szCs w:val="21"/>
                                </w:rPr>
                                <w:t>纲领性、指导性文件；</w:t>
                              </w:r>
                            </w:p>
                            <w:p>
                              <w:pPr>
                                <w:rPr>
                                  <w:rFonts w:hint="eastAsia" w:ascii="宋体" w:hAnsi="宋体" w:eastAsia="黑体"/>
                                  <w:color w:val="000000"/>
                                  <w:szCs w:val="21"/>
                                </w:rPr>
                              </w:pPr>
                              <w:r>
                                <w:rPr>
                                  <w:rFonts w:hint="eastAsia" w:ascii="宋体" w:hAnsi="宋体" w:eastAsia="黑体"/>
                                  <w:color w:val="000000"/>
                                  <w:szCs w:val="21"/>
                                </w:rPr>
                                <w:t>管理规范；</w:t>
                              </w:r>
                            </w:p>
                            <w:p>
                              <w:pPr>
                                <w:rPr>
                                  <w:rFonts w:hint="eastAsia" w:ascii="宋体" w:hAnsi="宋体" w:eastAsia="黑体"/>
                                  <w:color w:val="000000"/>
                                  <w:szCs w:val="21"/>
                                </w:rPr>
                              </w:pPr>
                              <w:r>
                                <w:rPr>
                                  <w:rFonts w:hint="eastAsia" w:ascii="宋体" w:hAnsi="宋体" w:eastAsia="黑体"/>
                                  <w:color w:val="000000"/>
                                  <w:szCs w:val="21"/>
                                </w:rPr>
                                <w:t>方案措施性文件；</w:t>
                              </w:r>
                            </w:p>
                            <w:p>
                              <w:pPr>
                                <w:rPr>
                                  <w:rFonts w:hint="eastAsia" w:eastAsia="黑体"/>
                                  <w:color w:val="000000"/>
                                  <w:szCs w:val="21"/>
                                </w:rPr>
                              </w:pPr>
                              <w:r>
                                <w:rPr>
                                  <w:rFonts w:hint="eastAsia" w:ascii="宋体" w:hAnsi="宋体" w:eastAsia="黑体"/>
                                  <w:color w:val="000000"/>
                                  <w:szCs w:val="21"/>
                                </w:rPr>
                                <w:t>记录性文件</w:t>
                              </w:r>
                            </w:p>
                            <w:p>
                              <w:pPr>
                                <w:rPr>
                                  <w:rFonts w:hint="eastAsia" w:eastAsia="黑体"/>
                                  <w:color w:val="000000"/>
                                  <w:szCs w:val="21"/>
                                </w:rPr>
                              </w:pPr>
                            </w:p>
                          </w:txbxContent>
                        </wps:txbx>
                        <wps:bodyPr wrap="square" upright="1"/>
                      </wps:wsp>
                      <wps:wsp>
                        <wps:cNvPr id="16" name="Text Box 20"/>
                        <wps:cNvSpPr txBox="1"/>
                        <wps:spPr>
                          <a:xfrm>
                            <a:off x="2833" y="1196"/>
                            <a:ext cx="1703" cy="728"/>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eastAsia="黑体"/>
                                  <w:color w:val="000000"/>
                                  <w:szCs w:val="21"/>
                                </w:rPr>
                              </w:pPr>
                              <w:r>
                                <w:rPr>
                                  <w:rFonts w:hint="eastAsia" w:eastAsia="黑体"/>
                                  <w:color w:val="000000"/>
                                  <w:szCs w:val="21"/>
                                </w:rPr>
                                <w:t>管理文件</w:t>
                              </w:r>
                            </w:p>
                            <w:p>
                              <w:pPr>
                                <w:jc w:val="center"/>
                                <w:rPr>
                                  <w:rFonts w:hint="eastAsia" w:eastAsia="黑体"/>
                                  <w:color w:val="000000"/>
                                  <w:szCs w:val="21"/>
                                </w:rPr>
                              </w:pPr>
                              <w:r>
                                <w:rPr>
                                  <w:rFonts w:hint="eastAsia" w:eastAsia="黑体"/>
                                  <w:color w:val="000000"/>
                                  <w:szCs w:val="21"/>
                                </w:rPr>
                                <w:t>系统</w:t>
                              </w:r>
                            </w:p>
                            <w:p>
                              <w:pPr>
                                <w:jc w:val="center"/>
                                <w:rPr>
                                  <w:rFonts w:hint="eastAsia" w:eastAsia="黑体"/>
                                  <w:color w:val="000000"/>
                                  <w:szCs w:val="21"/>
                                </w:rPr>
                              </w:pPr>
                            </w:p>
                          </w:txbxContent>
                        </wps:txbx>
                        <wps:bodyPr wrap="square" upright="1"/>
                      </wps:wsp>
                      <wps:wsp>
                        <wps:cNvPr id="17" name="Text Box 21"/>
                        <wps:cNvSpPr txBox="1"/>
                        <wps:spPr>
                          <a:xfrm>
                            <a:off x="5158" y="1184"/>
                            <a:ext cx="1704" cy="727"/>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eastAsia="黑体"/>
                                  <w:color w:val="000000"/>
                                  <w:szCs w:val="21"/>
                                </w:rPr>
                              </w:pPr>
                              <w:r>
                                <w:rPr>
                                  <w:rFonts w:hint="eastAsia" w:eastAsia="黑体"/>
                                  <w:color w:val="000000"/>
                                  <w:szCs w:val="21"/>
                                </w:rPr>
                                <w:t>领导组织</w:t>
                              </w:r>
                            </w:p>
                            <w:p>
                              <w:pPr>
                                <w:jc w:val="center"/>
                                <w:rPr>
                                  <w:rFonts w:hint="eastAsia" w:eastAsia="黑体"/>
                                  <w:color w:val="000000"/>
                                  <w:szCs w:val="21"/>
                                </w:rPr>
                              </w:pPr>
                              <w:r>
                                <w:rPr>
                                  <w:rFonts w:hint="eastAsia" w:eastAsia="黑体"/>
                                  <w:color w:val="000000"/>
                                  <w:szCs w:val="21"/>
                                </w:rPr>
                                <w:t>系统</w:t>
                              </w:r>
                            </w:p>
                            <w:p>
                              <w:pPr>
                                <w:jc w:val="center"/>
                                <w:rPr>
                                  <w:rFonts w:hint="eastAsia" w:eastAsia="黑体"/>
                                  <w:color w:val="000000"/>
                                  <w:szCs w:val="21"/>
                                </w:rPr>
                              </w:pPr>
                            </w:p>
                          </w:txbxContent>
                        </wps:txbx>
                        <wps:bodyPr wrap="square" upright="1"/>
                      </wps:wsp>
                      <wps:wsp>
                        <wps:cNvPr id="18" name="Text Box 22"/>
                        <wps:cNvSpPr txBox="1"/>
                        <wps:spPr>
                          <a:xfrm>
                            <a:off x="4234" y="99"/>
                            <a:ext cx="7350" cy="489"/>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ascii="黑体" w:eastAsia="黑体"/>
                                  <w:color w:val="000000"/>
                                  <w:szCs w:val="21"/>
                                </w:rPr>
                              </w:pPr>
                              <w:r>
                                <w:rPr>
                                  <w:rFonts w:hint="eastAsia" w:ascii="黑体" w:eastAsia="黑体"/>
                                  <w:color w:val="000000"/>
                                  <w:szCs w:val="21"/>
                                </w:rPr>
                                <w:t>遵义医学院医学与科技学院本科教学质量监控体系</w:t>
                              </w:r>
                            </w:p>
                          </w:txbxContent>
                        </wps:txbx>
                        <wps:bodyPr wrap="square" upright="1"/>
                      </wps:wsp>
                      <wps:wsp>
                        <wps:cNvPr id="19" name="Text Box 23"/>
                        <wps:cNvSpPr txBox="1"/>
                        <wps:spPr>
                          <a:xfrm>
                            <a:off x="7570" y="1163"/>
                            <a:ext cx="1707" cy="724"/>
                          </a:xfrm>
                          <a:prstGeom prst="rect">
                            <a:avLst/>
                          </a:prstGeom>
                          <a:noFill/>
                          <a:ln w="9525" cap="flat" cmpd="sng">
                            <a:solidFill>
                              <a:srgbClr val="000000"/>
                            </a:solidFill>
                            <a:prstDash val="solid"/>
                            <a:miter/>
                            <a:headEnd type="none" w="med" len="med"/>
                            <a:tailEnd type="none" w="med" len="med"/>
                          </a:ln>
                        </wps:spPr>
                        <wps:txbx>
                          <w:txbxContent>
                            <w:p>
                              <w:pPr>
                                <w:spacing w:line="360" w:lineRule="auto"/>
                                <w:jc w:val="center"/>
                                <w:rPr>
                                  <w:rFonts w:eastAsia="黑体"/>
                                  <w:color w:val="000000"/>
                                  <w:szCs w:val="21"/>
                                </w:rPr>
                              </w:pPr>
                              <w:r>
                                <w:rPr>
                                  <w:rFonts w:hint="eastAsia" w:eastAsia="黑体"/>
                                  <w:color w:val="000000"/>
                                  <w:szCs w:val="21"/>
                                </w:rPr>
                                <w:t>信息系统</w:t>
                              </w:r>
                            </w:p>
                          </w:txbxContent>
                        </wps:txbx>
                        <wps:bodyPr wrap="square" upright="1"/>
                      </wps:wsp>
                      <wps:wsp>
                        <wps:cNvPr id="20" name="Text Box 24"/>
                        <wps:cNvSpPr txBox="1"/>
                        <wps:spPr>
                          <a:xfrm>
                            <a:off x="10056" y="1140"/>
                            <a:ext cx="1700" cy="723"/>
                          </a:xfrm>
                          <a:prstGeom prst="rect">
                            <a:avLst/>
                          </a:prstGeom>
                          <a:noFill/>
                          <a:ln w="9525" cap="flat" cmpd="sng">
                            <a:solidFill>
                              <a:srgbClr val="000000"/>
                            </a:solidFill>
                            <a:prstDash val="solid"/>
                            <a:miter/>
                            <a:headEnd type="none" w="med" len="med"/>
                            <a:tailEnd type="none" w="med" len="med"/>
                          </a:ln>
                        </wps:spPr>
                        <wps:txbx>
                          <w:txbxContent>
                            <w:p>
                              <w:pPr>
                                <w:spacing w:line="360" w:lineRule="auto"/>
                                <w:jc w:val="center"/>
                                <w:rPr>
                                  <w:rFonts w:eastAsia="黑体"/>
                                  <w:color w:val="000000"/>
                                  <w:szCs w:val="21"/>
                                </w:rPr>
                              </w:pPr>
                              <w:r>
                                <w:rPr>
                                  <w:rFonts w:hint="eastAsia" w:eastAsia="黑体"/>
                                  <w:color w:val="000000"/>
                                  <w:szCs w:val="21"/>
                                </w:rPr>
                                <w:t>评价系统</w:t>
                              </w:r>
                            </w:p>
                          </w:txbxContent>
                        </wps:txbx>
                        <wps:bodyPr wrap="square" upright="1"/>
                      </wps:wsp>
                      <wps:wsp>
                        <wps:cNvPr id="21" name="Text Box 25"/>
                        <wps:cNvSpPr txBox="1"/>
                        <wps:spPr>
                          <a:xfrm>
                            <a:off x="12722" y="1130"/>
                            <a:ext cx="1799" cy="756"/>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eastAsia="黑体"/>
                                  <w:color w:val="000000"/>
                                  <w:szCs w:val="21"/>
                                </w:rPr>
                              </w:pPr>
                              <w:r>
                                <w:rPr>
                                  <w:rFonts w:hint="eastAsia" w:eastAsia="黑体"/>
                                  <w:color w:val="000000"/>
                                  <w:szCs w:val="21"/>
                                </w:rPr>
                                <w:t>支持与保障</w:t>
                              </w:r>
                            </w:p>
                            <w:p>
                              <w:pPr>
                                <w:jc w:val="center"/>
                                <w:rPr>
                                  <w:rFonts w:eastAsia="黑体"/>
                                  <w:color w:val="000000"/>
                                  <w:szCs w:val="21"/>
                                </w:rPr>
                              </w:pPr>
                              <w:r>
                                <w:rPr>
                                  <w:rFonts w:hint="eastAsia" w:eastAsia="黑体"/>
                                  <w:color w:val="000000"/>
                                  <w:szCs w:val="21"/>
                                </w:rPr>
                                <w:t>系统</w:t>
                              </w:r>
                            </w:p>
                          </w:txbxContent>
                        </wps:txbx>
                        <wps:bodyPr wrap="square" upright="1"/>
                      </wps:wsp>
                      <wps:wsp>
                        <wps:cNvPr id="22" name="Text Box 26"/>
                        <wps:cNvSpPr txBox="1"/>
                        <wps:spPr>
                          <a:xfrm>
                            <a:off x="4652" y="2625"/>
                            <a:ext cx="1090" cy="395"/>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eastAsia="黑体"/>
                                  <w:color w:val="000000"/>
                                  <w:szCs w:val="21"/>
                                </w:rPr>
                              </w:pPr>
                              <w:r>
                                <w:rPr>
                                  <w:rFonts w:hint="eastAsia" w:eastAsia="黑体"/>
                                  <w:color w:val="000000"/>
                                  <w:szCs w:val="21"/>
                                </w:rPr>
                                <w:t>组织机构</w:t>
                              </w:r>
                            </w:p>
                          </w:txbxContent>
                        </wps:txbx>
                        <wps:bodyPr wrap="square" lIns="36000" tIns="36000" rIns="36000" bIns="36000" upright="1"/>
                      </wps:wsp>
                      <wps:wsp>
                        <wps:cNvPr id="23" name="Text Box 27"/>
                        <wps:cNvSpPr txBox="1"/>
                        <wps:spPr>
                          <a:xfrm>
                            <a:off x="4707" y="5714"/>
                            <a:ext cx="1024" cy="1407"/>
                          </a:xfrm>
                          <a:prstGeom prst="rect">
                            <a:avLst/>
                          </a:prstGeom>
                          <a:noFill/>
                          <a:ln w="9525" cap="flat" cmpd="sng">
                            <a:solidFill>
                              <a:srgbClr val="000000"/>
                            </a:solidFill>
                            <a:prstDash val="solid"/>
                            <a:miter/>
                            <a:headEnd type="none" w="med" len="med"/>
                            <a:tailEnd type="none" w="med" len="med"/>
                          </a:ln>
                        </wps:spPr>
                        <wps:txbx>
                          <w:txbxContent>
                            <w:p>
                              <w:pPr>
                                <w:rPr>
                                  <w:rFonts w:hint="eastAsia" w:eastAsia="黑体"/>
                                  <w:color w:val="000000"/>
                                  <w:szCs w:val="21"/>
                                </w:rPr>
                              </w:pPr>
                              <w:r>
                                <w:rPr>
                                  <w:rFonts w:hint="eastAsia" w:eastAsia="黑体"/>
                                  <w:color w:val="000000"/>
                                  <w:szCs w:val="21"/>
                                </w:rPr>
                                <w:t>部系教学质量监控领导小组</w:t>
                              </w:r>
                            </w:p>
                            <w:p>
                              <w:pPr>
                                <w:rPr>
                                  <w:rFonts w:hint="eastAsia" w:eastAsia="黑体"/>
                                  <w:color w:val="000000"/>
                                  <w:szCs w:val="21"/>
                                </w:rPr>
                              </w:pPr>
                            </w:p>
                          </w:txbxContent>
                        </wps:txbx>
                        <wps:bodyPr wrap="square" lIns="36000" tIns="36000" rIns="36000" bIns="36000" upright="1"/>
                      </wps:wsp>
                      <wps:wsp>
                        <wps:cNvPr id="24" name="Text Box 28"/>
                        <wps:cNvSpPr txBox="1"/>
                        <wps:spPr>
                          <a:xfrm>
                            <a:off x="3600" y="4960"/>
                            <a:ext cx="2700" cy="394"/>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eastAsia="黑体"/>
                                  <w:color w:val="000000"/>
                                  <w:szCs w:val="21"/>
                                </w:rPr>
                              </w:pPr>
                              <w:r>
                                <w:rPr>
                                  <w:rFonts w:hint="eastAsia" w:eastAsia="黑体"/>
                                  <w:color w:val="000000"/>
                                  <w:szCs w:val="21"/>
                                </w:rPr>
                                <w:t xml:space="preserve">    教学办</w:t>
                              </w:r>
                            </w:p>
                          </w:txbxContent>
                        </wps:txbx>
                        <wps:bodyPr wrap="square" lIns="36000" tIns="36000" rIns="36000" bIns="36000" upright="1"/>
                      </wps:wsp>
                      <wps:wsp>
                        <wps:cNvPr id="25" name="Text Box 29"/>
                        <wps:cNvSpPr txBox="1"/>
                        <wps:spPr>
                          <a:xfrm>
                            <a:off x="4738" y="3287"/>
                            <a:ext cx="881" cy="1391"/>
                          </a:xfrm>
                          <a:prstGeom prst="rect">
                            <a:avLst/>
                          </a:prstGeom>
                          <a:noFill/>
                          <a:ln w="9525" cap="flat" cmpd="sng">
                            <a:solidFill>
                              <a:srgbClr val="000000"/>
                            </a:solidFill>
                            <a:prstDash val="solid"/>
                            <a:miter/>
                            <a:headEnd type="none" w="med" len="med"/>
                            <a:tailEnd type="none" w="med" len="med"/>
                          </a:ln>
                        </wps:spPr>
                        <wps:txbx>
                          <w:txbxContent>
                            <w:p>
                              <w:pPr>
                                <w:rPr>
                                  <w:rFonts w:hint="eastAsia" w:eastAsia="黑体"/>
                                  <w:color w:val="000000"/>
                                  <w:szCs w:val="21"/>
                                </w:rPr>
                              </w:pPr>
                              <w:r>
                                <w:rPr>
                                  <w:rFonts w:hint="eastAsia" w:eastAsia="黑体"/>
                                  <w:color w:val="000000"/>
                                  <w:szCs w:val="21"/>
                                </w:rPr>
                                <w:t>院教学质量监控领导小组</w:t>
                              </w:r>
                            </w:p>
                          </w:txbxContent>
                        </wps:txbx>
                        <wps:bodyPr wrap="square" lIns="36000" tIns="36000" rIns="36000" bIns="36000" upright="1"/>
                      </wps:wsp>
                      <wps:wsp>
                        <wps:cNvPr id="26" name="Text Box 30"/>
                        <wps:cNvSpPr txBox="1"/>
                        <wps:spPr>
                          <a:xfrm>
                            <a:off x="6502" y="3368"/>
                            <a:ext cx="469" cy="3737"/>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eastAsia="黑体"/>
                                  <w:color w:val="000000"/>
                                  <w:szCs w:val="21"/>
                                </w:rPr>
                              </w:pPr>
                              <w:r>
                                <w:rPr>
                                  <w:rFonts w:hint="eastAsia" w:eastAsia="黑体"/>
                                  <w:color w:val="000000"/>
                                  <w:szCs w:val="21"/>
                                </w:rPr>
                                <w:t>组</w:t>
                              </w:r>
                            </w:p>
                            <w:p>
                              <w:pPr>
                                <w:jc w:val="center"/>
                                <w:rPr>
                                  <w:rFonts w:hint="eastAsia" w:eastAsia="黑体"/>
                                  <w:color w:val="000000"/>
                                  <w:szCs w:val="21"/>
                                </w:rPr>
                              </w:pPr>
                              <w:r>
                                <w:rPr>
                                  <w:rFonts w:hint="eastAsia" w:eastAsia="黑体"/>
                                  <w:color w:val="000000"/>
                                  <w:szCs w:val="21"/>
                                </w:rPr>
                                <w:t>织</w:t>
                              </w:r>
                            </w:p>
                            <w:p>
                              <w:pPr>
                                <w:jc w:val="center"/>
                                <w:rPr>
                                  <w:rFonts w:hint="eastAsia" w:eastAsia="黑体"/>
                                  <w:color w:val="000000"/>
                                  <w:szCs w:val="21"/>
                                </w:rPr>
                              </w:pPr>
                              <w:r>
                                <w:rPr>
                                  <w:rFonts w:hint="eastAsia" w:eastAsia="黑体"/>
                                  <w:color w:val="000000"/>
                                  <w:szCs w:val="21"/>
                                </w:rPr>
                                <w:t>、协调、监督、控制</w:t>
                              </w:r>
                            </w:p>
                          </w:txbxContent>
                        </wps:txbx>
                        <wps:bodyPr wrap="square" lIns="36000" tIns="36000" rIns="36000" bIns="36000" upright="1"/>
                      </wps:wsp>
                      <wps:wsp>
                        <wps:cNvPr id="27" name="Text Box 31"/>
                        <wps:cNvSpPr txBox="1"/>
                        <wps:spPr>
                          <a:xfrm>
                            <a:off x="6116" y="2606"/>
                            <a:ext cx="1181" cy="396"/>
                          </a:xfrm>
                          <a:prstGeom prst="rect">
                            <a:avLst/>
                          </a:prstGeom>
                          <a:noFill/>
                          <a:ln w="9525" cap="flat" cmpd="sng">
                            <a:solidFill>
                              <a:srgbClr val="000000"/>
                            </a:solidFill>
                            <a:prstDash val="solid"/>
                            <a:miter/>
                            <a:headEnd type="none" w="med" len="med"/>
                            <a:tailEnd type="none" w="med" len="med"/>
                          </a:ln>
                        </wps:spPr>
                        <wps:txbx>
                          <w:txbxContent>
                            <w:p>
                              <w:pPr>
                                <w:rPr>
                                  <w:rFonts w:hint="eastAsia" w:eastAsia="黑体"/>
                                  <w:color w:val="000000"/>
                                  <w:szCs w:val="21"/>
                                </w:rPr>
                              </w:pPr>
                              <w:r>
                                <w:rPr>
                                  <w:rFonts w:hint="eastAsia" w:eastAsia="黑体"/>
                                  <w:color w:val="000000"/>
                                  <w:szCs w:val="21"/>
                                </w:rPr>
                                <w:t>主要职能</w:t>
                              </w:r>
                            </w:p>
                          </w:txbxContent>
                        </wps:txbx>
                        <wps:bodyPr wrap="square" lIns="36000" tIns="36000" rIns="36000" bIns="36000" upright="1"/>
                      </wps:wsp>
                      <wps:wsp>
                        <wps:cNvPr id="28" name="Text Box 32"/>
                        <wps:cNvSpPr txBox="1"/>
                        <wps:spPr>
                          <a:xfrm>
                            <a:off x="7370" y="2644"/>
                            <a:ext cx="527" cy="4442"/>
                          </a:xfrm>
                          <a:prstGeom prst="rect">
                            <a:avLst/>
                          </a:prstGeom>
                          <a:noFill/>
                          <a:ln w="9525" cap="flat" cmpd="sng">
                            <a:solidFill>
                              <a:srgbClr val="000000"/>
                            </a:solidFill>
                            <a:prstDash val="solid"/>
                            <a:miter/>
                            <a:headEnd type="none" w="med" len="med"/>
                            <a:tailEnd type="none" w="med" len="med"/>
                          </a:ln>
                        </wps:spPr>
                        <wps:txbx>
                          <w:txbxContent>
                            <w:p>
                              <w:pPr>
                                <w:spacing w:line="320" w:lineRule="exact"/>
                                <w:rPr>
                                  <w:rFonts w:hint="eastAsia" w:eastAsia="黑体"/>
                                  <w:color w:val="000000"/>
                                  <w:szCs w:val="21"/>
                                </w:rPr>
                              </w:pPr>
                              <w:r>
                                <w:rPr>
                                  <w:rFonts w:hint="eastAsia" w:eastAsia="黑体"/>
                                  <w:color w:val="000000"/>
                                  <w:szCs w:val="21"/>
                                </w:rPr>
                                <w:t>教师、学生、管理人员教学质量信息系统</w:t>
                              </w:r>
                            </w:p>
                            <w:p>
                              <w:pPr>
                                <w:jc w:val="center"/>
                                <w:rPr>
                                  <w:rFonts w:hint="eastAsia" w:eastAsia="黑体"/>
                                  <w:color w:val="000000"/>
                                  <w:szCs w:val="21"/>
                                </w:rPr>
                              </w:pPr>
                            </w:p>
                          </w:txbxContent>
                        </wps:txbx>
                        <wps:bodyPr vert="eaVert" wrap="square" lIns="54000" tIns="54000" rIns="54000" bIns="54000" upright="1"/>
                      </wps:wsp>
                      <wps:wsp>
                        <wps:cNvPr id="29" name="Text Box 33"/>
                        <wps:cNvSpPr txBox="1"/>
                        <wps:spPr>
                          <a:xfrm>
                            <a:off x="8168" y="2663"/>
                            <a:ext cx="508" cy="4336"/>
                          </a:xfrm>
                          <a:prstGeom prst="rect">
                            <a:avLst/>
                          </a:prstGeom>
                          <a:noFill/>
                          <a:ln w="9525" cap="flat" cmpd="sng">
                            <a:solidFill>
                              <a:srgbClr val="000000"/>
                            </a:solidFill>
                            <a:prstDash val="solid"/>
                            <a:miter/>
                            <a:headEnd type="none" w="med" len="med"/>
                            <a:tailEnd type="none" w="med" len="med"/>
                          </a:ln>
                        </wps:spPr>
                        <wps:txbx>
                          <w:txbxContent>
                            <w:p>
                              <w:pPr>
                                <w:spacing w:line="320" w:lineRule="exact"/>
                                <w:rPr>
                                  <w:rFonts w:hint="eastAsia" w:eastAsia="黑体"/>
                                  <w:color w:val="000000"/>
                                  <w:szCs w:val="21"/>
                                </w:rPr>
                              </w:pPr>
                              <w:r>
                                <w:rPr>
                                  <w:rFonts w:hint="eastAsia" w:eastAsia="黑体"/>
                                  <w:color w:val="000000"/>
                                  <w:szCs w:val="21"/>
                                </w:rPr>
                                <w:t>院外用人单位教学质量信息系统</w:t>
                              </w:r>
                            </w:p>
                          </w:txbxContent>
                        </wps:txbx>
                        <wps:bodyPr vert="eaVert" wrap="square" lIns="54000" tIns="54000" rIns="54000" bIns="54000" upright="1"/>
                      </wps:wsp>
                      <wps:wsp>
                        <wps:cNvPr id="30" name="Text Box 34"/>
                        <wps:cNvSpPr txBox="1"/>
                        <wps:spPr>
                          <a:xfrm>
                            <a:off x="9057" y="2681"/>
                            <a:ext cx="462" cy="4332"/>
                          </a:xfrm>
                          <a:prstGeom prst="rect">
                            <a:avLst/>
                          </a:prstGeom>
                          <a:noFill/>
                          <a:ln w="9525" cap="flat" cmpd="sng">
                            <a:solidFill>
                              <a:srgbClr val="000000"/>
                            </a:solidFill>
                            <a:prstDash val="solid"/>
                            <a:miter/>
                            <a:headEnd type="none" w="med" len="med"/>
                            <a:tailEnd type="none" w="med" len="med"/>
                          </a:ln>
                        </wps:spPr>
                        <wps:txbx>
                          <w:txbxContent>
                            <w:p>
                              <w:pPr>
                                <w:spacing w:line="320" w:lineRule="exact"/>
                                <w:rPr>
                                  <w:rFonts w:hint="eastAsia" w:eastAsia="黑体"/>
                                  <w:color w:val="000000"/>
                                  <w:szCs w:val="21"/>
                                </w:rPr>
                              </w:pPr>
                              <w:r>
                                <w:rPr>
                                  <w:rFonts w:hint="eastAsia" w:eastAsia="黑体"/>
                                  <w:color w:val="000000"/>
                                  <w:szCs w:val="21"/>
                                </w:rPr>
                                <w:t>教学质量信息的处理系统</w:t>
                              </w:r>
                            </w:p>
                          </w:txbxContent>
                        </wps:txbx>
                        <wps:bodyPr vert="eaVert" wrap="square" lIns="54000" tIns="54000" rIns="54000" bIns="54000" upright="1"/>
                      </wps:wsp>
                      <wps:wsp>
                        <wps:cNvPr id="31" name="Text Box 35"/>
                        <wps:cNvSpPr txBox="1"/>
                        <wps:spPr>
                          <a:xfrm>
                            <a:off x="9727" y="2540"/>
                            <a:ext cx="458" cy="5247"/>
                          </a:xfrm>
                          <a:prstGeom prst="rect">
                            <a:avLst/>
                          </a:prstGeom>
                          <a:noFill/>
                          <a:ln w="9525" cap="flat" cmpd="sng">
                            <a:solidFill>
                              <a:srgbClr val="000000"/>
                            </a:solidFill>
                            <a:prstDash val="solid"/>
                            <a:miter/>
                            <a:headEnd type="none" w="med" len="med"/>
                            <a:tailEnd type="none" w="med" len="med"/>
                          </a:ln>
                        </wps:spPr>
                        <wps:txbx>
                          <w:txbxContent>
                            <w:p>
                              <w:pPr>
                                <w:spacing w:line="320" w:lineRule="exact"/>
                                <w:jc w:val="distribute"/>
                                <w:rPr>
                                  <w:rFonts w:hint="eastAsia" w:eastAsia="黑体"/>
                                  <w:color w:val="000000"/>
                                  <w:szCs w:val="21"/>
                                </w:rPr>
                              </w:pPr>
                              <w:r>
                                <w:rPr>
                                  <w:rFonts w:hint="eastAsia" w:eastAsia="黑体"/>
                                  <w:color w:val="000000"/>
                                  <w:szCs w:val="21"/>
                                </w:rPr>
                                <w:t>课堂（实验）教学质量评价</w:t>
                              </w:r>
                            </w:p>
                          </w:txbxContent>
                        </wps:txbx>
                        <wps:bodyPr vert="eaVert" wrap="square" lIns="54000" tIns="54000" rIns="54000" bIns="54000" upright="1"/>
                      </wps:wsp>
                      <wps:wsp>
                        <wps:cNvPr id="32" name="Text Box 36"/>
                        <wps:cNvSpPr txBox="1"/>
                        <wps:spPr>
                          <a:xfrm>
                            <a:off x="10437" y="2531"/>
                            <a:ext cx="458" cy="5255"/>
                          </a:xfrm>
                          <a:prstGeom prst="rect">
                            <a:avLst/>
                          </a:prstGeom>
                          <a:noFill/>
                          <a:ln w="9525" cap="flat" cmpd="sng">
                            <a:solidFill>
                              <a:srgbClr val="000000"/>
                            </a:solidFill>
                            <a:prstDash val="solid"/>
                            <a:miter/>
                            <a:headEnd type="none" w="med" len="med"/>
                            <a:tailEnd type="none" w="med" len="med"/>
                          </a:ln>
                        </wps:spPr>
                        <wps:txbx>
                          <w:txbxContent>
                            <w:p>
                              <w:pPr>
                                <w:spacing w:line="320" w:lineRule="exact"/>
                                <w:jc w:val="distribute"/>
                                <w:rPr>
                                  <w:rFonts w:hint="eastAsia" w:eastAsia="黑体"/>
                                  <w:color w:val="000000"/>
                                  <w:szCs w:val="21"/>
                                </w:rPr>
                              </w:pPr>
                              <w:r>
                                <w:rPr>
                                  <w:rFonts w:hint="eastAsia" w:eastAsia="黑体"/>
                                  <w:color w:val="000000"/>
                                  <w:szCs w:val="21"/>
                                </w:rPr>
                                <w:t>教学检查、实习检查、随机检查等检查评价制度</w:t>
                              </w:r>
                            </w:p>
                          </w:txbxContent>
                        </wps:txbx>
                        <wps:bodyPr vert="eaVert" wrap="square" lIns="54000" tIns="54000" rIns="54000" bIns="54000" upright="1"/>
                      </wps:wsp>
                      <wps:wsp>
                        <wps:cNvPr id="33" name="Text Box 37"/>
                        <wps:cNvSpPr txBox="1"/>
                        <wps:spPr>
                          <a:xfrm>
                            <a:off x="11125" y="2540"/>
                            <a:ext cx="456" cy="5247"/>
                          </a:xfrm>
                          <a:prstGeom prst="rect">
                            <a:avLst/>
                          </a:prstGeom>
                          <a:noFill/>
                          <a:ln w="9525" cap="flat" cmpd="sng">
                            <a:solidFill>
                              <a:srgbClr val="000000"/>
                            </a:solidFill>
                            <a:prstDash val="solid"/>
                            <a:miter/>
                            <a:headEnd type="none" w="med" len="med"/>
                            <a:tailEnd type="none" w="med" len="med"/>
                          </a:ln>
                        </wps:spPr>
                        <wps:txbx>
                          <w:txbxContent>
                            <w:p>
                              <w:pPr>
                                <w:spacing w:line="320" w:lineRule="exact"/>
                                <w:jc w:val="distribute"/>
                                <w:rPr>
                                  <w:rFonts w:hint="eastAsia" w:eastAsia="黑体"/>
                                  <w:color w:val="000000"/>
                                  <w:szCs w:val="21"/>
                                </w:rPr>
                              </w:pPr>
                              <w:r>
                                <w:rPr>
                                  <w:rFonts w:hint="eastAsia" w:eastAsia="黑体"/>
                                  <w:color w:val="000000"/>
                                  <w:szCs w:val="21"/>
                                </w:rPr>
                                <w:t>教学相长会、教学工作会及其它信息反馈评价制度</w:t>
                              </w:r>
                            </w:p>
                          </w:txbxContent>
                        </wps:txbx>
                        <wps:bodyPr vert="eaVert" wrap="square" lIns="54000" tIns="54000" rIns="54000" bIns="54000" upright="1"/>
                      </wps:wsp>
                      <wps:wsp>
                        <wps:cNvPr id="34" name="Text Box 38"/>
                        <wps:cNvSpPr txBox="1"/>
                        <wps:spPr>
                          <a:xfrm>
                            <a:off x="12656" y="2657"/>
                            <a:ext cx="491" cy="3528"/>
                          </a:xfrm>
                          <a:prstGeom prst="rect">
                            <a:avLst/>
                          </a:prstGeom>
                          <a:noFill/>
                          <a:ln w="9525" cap="flat" cmpd="sng">
                            <a:solidFill>
                              <a:srgbClr val="000000"/>
                            </a:solidFill>
                            <a:prstDash val="solid"/>
                            <a:miter/>
                            <a:headEnd type="none" w="med" len="med"/>
                            <a:tailEnd type="none" w="med" len="med"/>
                          </a:ln>
                        </wps:spPr>
                        <wps:txbx>
                          <w:txbxContent>
                            <w:p>
                              <w:pPr>
                                <w:spacing w:line="320" w:lineRule="exact"/>
                                <w:jc w:val="distribute"/>
                                <w:rPr>
                                  <w:rFonts w:eastAsia="黑体"/>
                                  <w:color w:val="000000"/>
                                  <w:szCs w:val="21"/>
                                </w:rPr>
                              </w:pPr>
                              <w:r>
                                <w:rPr>
                                  <w:rFonts w:hint="eastAsia" w:eastAsia="黑体"/>
                                  <w:color w:val="000000"/>
                                  <w:szCs w:val="21"/>
                                </w:rPr>
                                <w:t>师资队伍建设系统</w:t>
                              </w:r>
                            </w:p>
                          </w:txbxContent>
                        </wps:txbx>
                        <wps:bodyPr vert="eaVert" wrap="square" lIns="54000" tIns="54000" rIns="54000" bIns="54000" upright="1"/>
                      </wps:wsp>
                      <wps:wsp>
                        <wps:cNvPr id="35" name="Text Box 39"/>
                        <wps:cNvSpPr txBox="1"/>
                        <wps:spPr>
                          <a:xfrm>
                            <a:off x="14240" y="2624"/>
                            <a:ext cx="458" cy="3556"/>
                          </a:xfrm>
                          <a:prstGeom prst="rect">
                            <a:avLst/>
                          </a:prstGeom>
                          <a:noFill/>
                          <a:ln w="9525" cap="flat" cmpd="sng">
                            <a:solidFill>
                              <a:srgbClr val="000000"/>
                            </a:solidFill>
                            <a:prstDash val="solid"/>
                            <a:miter/>
                            <a:headEnd type="none" w="med" len="med"/>
                            <a:tailEnd type="none" w="med" len="med"/>
                          </a:ln>
                        </wps:spPr>
                        <wps:txbx>
                          <w:txbxContent>
                            <w:p>
                              <w:pPr>
                                <w:spacing w:line="320" w:lineRule="exact"/>
                                <w:jc w:val="distribute"/>
                                <w:rPr>
                                  <w:rFonts w:hint="eastAsia" w:eastAsia="黑体"/>
                                  <w:color w:val="000000"/>
                                  <w:szCs w:val="21"/>
                                </w:rPr>
                              </w:pPr>
                              <w:r>
                                <w:rPr>
                                  <w:rFonts w:hint="eastAsia" w:eastAsia="黑体"/>
                                  <w:color w:val="000000"/>
                                  <w:szCs w:val="21"/>
                                </w:rPr>
                                <w:t>教学设施建设与保障系统</w:t>
                              </w:r>
                            </w:p>
                          </w:txbxContent>
                        </wps:txbx>
                        <wps:bodyPr vert="eaVert" wrap="square" lIns="54000" tIns="54000" rIns="54000" bIns="54000" upright="1"/>
                      </wps:wsp>
                      <wps:wsp>
                        <wps:cNvPr id="36" name="Line 40"/>
                        <wps:cNvSpPr/>
                        <wps:spPr>
                          <a:xfrm flipV="1">
                            <a:off x="5154" y="2225"/>
                            <a:ext cx="1664" cy="1"/>
                          </a:xfrm>
                          <a:prstGeom prst="line">
                            <a:avLst/>
                          </a:prstGeom>
                          <a:ln w="9525" cap="flat" cmpd="sng">
                            <a:solidFill>
                              <a:srgbClr val="000000"/>
                            </a:solidFill>
                            <a:prstDash val="solid"/>
                            <a:headEnd type="none" w="med" len="med"/>
                            <a:tailEnd type="none" w="med" len="med"/>
                          </a:ln>
                        </wps:spPr>
                        <wps:bodyPr upright="1"/>
                      </wps:wsp>
                      <wps:wsp>
                        <wps:cNvPr id="37" name="Line 41"/>
                        <wps:cNvSpPr/>
                        <wps:spPr>
                          <a:xfrm flipH="1">
                            <a:off x="7870" y="605"/>
                            <a:ext cx="2" cy="321"/>
                          </a:xfrm>
                          <a:prstGeom prst="line">
                            <a:avLst/>
                          </a:prstGeom>
                          <a:ln w="9525" cap="flat" cmpd="sng">
                            <a:solidFill>
                              <a:srgbClr val="000000"/>
                            </a:solidFill>
                            <a:prstDash val="solid"/>
                            <a:headEnd type="none" w="med" len="med"/>
                            <a:tailEnd type="none" w="med" len="med"/>
                          </a:ln>
                        </wps:spPr>
                        <wps:bodyPr upright="1"/>
                      </wps:wsp>
                      <wps:wsp>
                        <wps:cNvPr id="38" name="Line 42"/>
                        <wps:cNvSpPr/>
                        <wps:spPr>
                          <a:xfrm flipH="1">
                            <a:off x="1766" y="1967"/>
                            <a:ext cx="2" cy="576"/>
                          </a:xfrm>
                          <a:prstGeom prst="line">
                            <a:avLst/>
                          </a:prstGeom>
                          <a:ln w="9525" cap="flat" cmpd="sng">
                            <a:solidFill>
                              <a:srgbClr val="000000"/>
                            </a:solidFill>
                            <a:prstDash val="solid"/>
                            <a:headEnd type="none" w="med" len="med"/>
                            <a:tailEnd type="none" w="med" len="med"/>
                          </a:ln>
                        </wps:spPr>
                        <wps:bodyPr upright="1"/>
                      </wps:wsp>
                      <wps:wsp>
                        <wps:cNvPr id="39" name="Line 43"/>
                        <wps:cNvSpPr/>
                        <wps:spPr>
                          <a:xfrm flipH="1">
                            <a:off x="3632" y="1950"/>
                            <a:ext cx="4" cy="572"/>
                          </a:xfrm>
                          <a:prstGeom prst="line">
                            <a:avLst/>
                          </a:prstGeom>
                          <a:ln w="9525" cap="flat" cmpd="sng">
                            <a:solidFill>
                              <a:srgbClr val="000000"/>
                            </a:solidFill>
                            <a:prstDash val="solid"/>
                            <a:headEnd type="none" w="med" len="med"/>
                            <a:tailEnd type="none" w="med" len="med"/>
                          </a:ln>
                        </wps:spPr>
                        <wps:bodyPr upright="1"/>
                      </wps:wsp>
                      <wps:wsp>
                        <wps:cNvPr id="40" name="Line 44"/>
                        <wps:cNvSpPr/>
                        <wps:spPr>
                          <a:xfrm flipH="1">
                            <a:off x="6060" y="1950"/>
                            <a:ext cx="1" cy="290"/>
                          </a:xfrm>
                          <a:prstGeom prst="line">
                            <a:avLst/>
                          </a:prstGeom>
                          <a:ln w="9525" cap="flat" cmpd="sng">
                            <a:solidFill>
                              <a:srgbClr val="000000"/>
                            </a:solidFill>
                            <a:prstDash val="solid"/>
                            <a:headEnd type="none" w="med" len="med"/>
                            <a:tailEnd type="none" w="med" len="med"/>
                          </a:ln>
                        </wps:spPr>
                        <wps:bodyPr upright="1"/>
                      </wps:wsp>
                      <wps:wsp>
                        <wps:cNvPr id="41" name="Line 45"/>
                        <wps:cNvSpPr/>
                        <wps:spPr>
                          <a:xfrm>
                            <a:off x="5173" y="3035"/>
                            <a:ext cx="2" cy="200"/>
                          </a:xfrm>
                          <a:prstGeom prst="line">
                            <a:avLst/>
                          </a:prstGeom>
                          <a:ln w="9525" cap="flat" cmpd="sng">
                            <a:solidFill>
                              <a:srgbClr val="000000"/>
                            </a:solidFill>
                            <a:prstDash val="solid"/>
                            <a:headEnd type="none" w="med" len="med"/>
                            <a:tailEnd type="none" w="med" len="med"/>
                          </a:ln>
                        </wps:spPr>
                        <wps:bodyPr upright="1"/>
                      </wps:wsp>
                      <wps:wsp>
                        <wps:cNvPr id="42" name="Line 46"/>
                        <wps:cNvSpPr/>
                        <wps:spPr>
                          <a:xfrm>
                            <a:off x="5184" y="5405"/>
                            <a:ext cx="2" cy="302"/>
                          </a:xfrm>
                          <a:prstGeom prst="line">
                            <a:avLst/>
                          </a:prstGeom>
                          <a:ln w="9525" cap="flat" cmpd="sng">
                            <a:solidFill>
                              <a:srgbClr val="000000"/>
                            </a:solidFill>
                            <a:prstDash val="solid"/>
                            <a:headEnd type="none" w="med" len="med"/>
                            <a:tailEnd type="none" w="med" len="med"/>
                          </a:ln>
                        </wps:spPr>
                        <wps:bodyPr upright="1"/>
                      </wps:wsp>
                      <wps:wsp>
                        <wps:cNvPr id="43" name="Line 47"/>
                        <wps:cNvSpPr/>
                        <wps:spPr>
                          <a:xfrm>
                            <a:off x="5194" y="4718"/>
                            <a:ext cx="2" cy="268"/>
                          </a:xfrm>
                          <a:prstGeom prst="line">
                            <a:avLst/>
                          </a:prstGeom>
                          <a:ln w="9525" cap="flat" cmpd="sng">
                            <a:solidFill>
                              <a:srgbClr val="000000"/>
                            </a:solidFill>
                            <a:prstDash val="solid"/>
                            <a:headEnd type="none" w="med" len="med"/>
                            <a:tailEnd type="none" w="med" len="med"/>
                          </a:ln>
                        </wps:spPr>
                        <wps:bodyPr upright="1"/>
                      </wps:wsp>
                      <wps:wsp>
                        <wps:cNvPr id="44" name="Line 48"/>
                        <wps:cNvSpPr/>
                        <wps:spPr>
                          <a:xfrm>
                            <a:off x="5208" y="7167"/>
                            <a:ext cx="1" cy="190"/>
                          </a:xfrm>
                          <a:prstGeom prst="line">
                            <a:avLst/>
                          </a:prstGeom>
                          <a:ln w="9525" cap="flat" cmpd="sng">
                            <a:solidFill>
                              <a:srgbClr val="000000"/>
                            </a:solidFill>
                            <a:prstDash val="solid"/>
                            <a:headEnd type="none" w="med" len="med"/>
                            <a:tailEnd type="none" w="med" len="med"/>
                          </a:ln>
                        </wps:spPr>
                        <wps:bodyPr upright="1"/>
                      </wps:wsp>
                      <wps:wsp>
                        <wps:cNvPr id="45" name="Line 49"/>
                        <wps:cNvSpPr/>
                        <wps:spPr>
                          <a:xfrm flipH="1">
                            <a:off x="6808" y="2219"/>
                            <a:ext cx="1" cy="360"/>
                          </a:xfrm>
                          <a:prstGeom prst="line">
                            <a:avLst/>
                          </a:prstGeom>
                          <a:ln w="9525" cap="flat" cmpd="sng">
                            <a:solidFill>
                              <a:srgbClr val="000000"/>
                            </a:solidFill>
                            <a:prstDash val="solid"/>
                            <a:headEnd type="none" w="med" len="med"/>
                            <a:tailEnd type="none" w="med" len="med"/>
                          </a:ln>
                        </wps:spPr>
                        <wps:bodyPr upright="1"/>
                      </wps:wsp>
                      <wps:wsp>
                        <wps:cNvPr id="46" name="Line 50"/>
                        <wps:cNvSpPr/>
                        <wps:spPr>
                          <a:xfrm>
                            <a:off x="6784" y="3023"/>
                            <a:ext cx="1" cy="302"/>
                          </a:xfrm>
                          <a:prstGeom prst="line">
                            <a:avLst/>
                          </a:prstGeom>
                          <a:ln w="9525" cap="flat" cmpd="sng">
                            <a:solidFill>
                              <a:srgbClr val="000000"/>
                            </a:solidFill>
                            <a:prstDash val="solid"/>
                            <a:headEnd type="none" w="med" len="med"/>
                            <a:tailEnd type="none" w="med" len="med"/>
                          </a:ln>
                        </wps:spPr>
                        <wps:bodyPr upright="1"/>
                      </wps:wsp>
                      <wps:wsp>
                        <wps:cNvPr id="47" name="Line 51"/>
                        <wps:cNvSpPr/>
                        <wps:spPr>
                          <a:xfrm>
                            <a:off x="5160" y="2246"/>
                            <a:ext cx="2" cy="353"/>
                          </a:xfrm>
                          <a:prstGeom prst="line">
                            <a:avLst/>
                          </a:prstGeom>
                          <a:ln w="9525" cap="flat" cmpd="sng">
                            <a:solidFill>
                              <a:srgbClr val="000000"/>
                            </a:solidFill>
                            <a:prstDash val="solid"/>
                            <a:headEnd type="none" w="med" len="med"/>
                            <a:tailEnd type="none" w="med" len="med"/>
                          </a:ln>
                        </wps:spPr>
                        <wps:bodyPr upright="1"/>
                      </wps:wsp>
                      <wps:wsp>
                        <wps:cNvPr id="48" name="Line 52"/>
                        <wps:cNvSpPr/>
                        <wps:spPr>
                          <a:xfrm flipV="1">
                            <a:off x="7616" y="2250"/>
                            <a:ext cx="1645" cy="1"/>
                          </a:xfrm>
                          <a:prstGeom prst="line">
                            <a:avLst/>
                          </a:prstGeom>
                          <a:ln w="9525" cap="flat" cmpd="sng">
                            <a:solidFill>
                              <a:srgbClr val="000000"/>
                            </a:solidFill>
                            <a:prstDash val="solid"/>
                            <a:headEnd type="none" w="med" len="med"/>
                            <a:tailEnd type="none" w="med" len="med"/>
                          </a:ln>
                        </wps:spPr>
                        <wps:bodyPr upright="1"/>
                      </wps:wsp>
                      <wps:wsp>
                        <wps:cNvPr id="49" name="Line 53"/>
                        <wps:cNvSpPr/>
                        <wps:spPr>
                          <a:xfrm>
                            <a:off x="8449" y="1913"/>
                            <a:ext cx="4" cy="764"/>
                          </a:xfrm>
                          <a:prstGeom prst="line">
                            <a:avLst/>
                          </a:prstGeom>
                          <a:ln w="9525" cap="flat" cmpd="sng">
                            <a:solidFill>
                              <a:srgbClr val="000000"/>
                            </a:solidFill>
                            <a:prstDash val="solid"/>
                            <a:headEnd type="none" w="med" len="med"/>
                            <a:tailEnd type="none" w="med" len="med"/>
                          </a:ln>
                        </wps:spPr>
                        <wps:bodyPr upright="1"/>
                      </wps:wsp>
                      <wps:wsp>
                        <wps:cNvPr id="50" name="Line 54"/>
                        <wps:cNvSpPr/>
                        <wps:spPr>
                          <a:xfrm flipH="1">
                            <a:off x="9240" y="2242"/>
                            <a:ext cx="13" cy="429"/>
                          </a:xfrm>
                          <a:prstGeom prst="line">
                            <a:avLst/>
                          </a:prstGeom>
                          <a:ln w="9525" cap="flat" cmpd="sng">
                            <a:solidFill>
                              <a:srgbClr val="000000"/>
                            </a:solidFill>
                            <a:prstDash val="solid"/>
                            <a:headEnd type="none" w="med" len="med"/>
                            <a:tailEnd type="none" w="med" len="med"/>
                          </a:ln>
                        </wps:spPr>
                        <wps:bodyPr upright="1"/>
                      </wps:wsp>
                      <wps:wsp>
                        <wps:cNvPr id="51" name="Line 55"/>
                        <wps:cNvSpPr/>
                        <wps:spPr>
                          <a:xfrm>
                            <a:off x="7624" y="2271"/>
                            <a:ext cx="2" cy="353"/>
                          </a:xfrm>
                          <a:prstGeom prst="line">
                            <a:avLst/>
                          </a:prstGeom>
                          <a:ln w="9525" cap="flat" cmpd="sng">
                            <a:solidFill>
                              <a:srgbClr val="000000"/>
                            </a:solidFill>
                            <a:prstDash val="solid"/>
                            <a:headEnd type="none" w="med" len="med"/>
                            <a:tailEnd type="none" w="med" len="med"/>
                          </a:ln>
                        </wps:spPr>
                        <wps:bodyPr upright="1"/>
                      </wps:wsp>
                      <wps:wsp>
                        <wps:cNvPr id="52" name="Text Box 56"/>
                        <wps:cNvSpPr txBox="1"/>
                        <wps:spPr>
                          <a:xfrm>
                            <a:off x="11826" y="2519"/>
                            <a:ext cx="458" cy="5267"/>
                          </a:xfrm>
                          <a:prstGeom prst="rect">
                            <a:avLst/>
                          </a:prstGeom>
                          <a:noFill/>
                          <a:ln w="9525" cap="flat" cmpd="sng">
                            <a:solidFill>
                              <a:srgbClr val="000000"/>
                            </a:solidFill>
                            <a:prstDash val="solid"/>
                            <a:miter/>
                            <a:headEnd type="none" w="med" len="med"/>
                            <a:tailEnd type="none" w="med" len="med"/>
                          </a:ln>
                        </wps:spPr>
                        <wps:txbx>
                          <w:txbxContent>
                            <w:p>
                              <w:pPr>
                                <w:spacing w:line="320" w:lineRule="exact"/>
                                <w:jc w:val="center"/>
                                <w:rPr>
                                  <w:rFonts w:hint="eastAsia" w:eastAsia="黑体"/>
                                  <w:color w:val="000000"/>
                                  <w:szCs w:val="21"/>
                                </w:rPr>
                              </w:pPr>
                              <w:r>
                                <w:rPr>
                                  <w:rFonts w:hint="eastAsia" w:eastAsia="黑体"/>
                                  <w:color w:val="000000"/>
                                  <w:szCs w:val="21"/>
                                </w:rPr>
                                <w:t>专业、学科、课程、实验室、实习基地等专项评估</w:t>
                              </w:r>
                            </w:p>
                          </w:txbxContent>
                        </wps:txbx>
                        <wps:bodyPr vert="eaVert" wrap="square" lIns="54000" tIns="54000" rIns="54000" bIns="54000" upright="1"/>
                      </wps:wsp>
                      <wps:wsp>
                        <wps:cNvPr id="53" name="Line 57"/>
                        <wps:cNvSpPr/>
                        <wps:spPr>
                          <a:xfrm flipV="1">
                            <a:off x="9938" y="2204"/>
                            <a:ext cx="2124" cy="3"/>
                          </a:xfrm>
                          <a:prstGeom prst="line">
                            <a:avLst/>
                          </a:prstGeom>
                          <a:ln w="9525" cap="flat" cmpd="sng">
                            <a:solidFill>
                              <a:srgbClr val="000000"/>
                            </a:solidFill>
                            <a:prstDash val="solid"/>
                            <a:headEnd type="none" w="med" len="med"/>
                            <a:tailEnd type="none" w="med" len="med"/>
                          </a:ln>
                        </wps:spPr>
                        <wps:bodyPr upright="1"/>
                      </wps:wsp>
                      <wps:wsp>
                        <wps:cNvPr id="54" name="Line 58"/>
                        <wps:cNvSpPr/>
                        <wps:spPr>
                          <a:xfrm flipH="1">
                            <a:off x="10912" y="1886"/>
                            <a:ext cx="2" cy="282"/>
                          </a:xfrm>
                          <a:prstGeom prst="line">
                            <a:avLst/>
                          </a:prstGeom>
                          <a:ln w="9525" cap="flat" cmpd="sng">
                            <a:solidFill>
                              <a:srgbClr val="000000"/>
                            </a:solidFill>
                            <a:prstDash val="solid"/>
                            <a:headEnd type="none" w="med" len="med"/>
                            <a:tailEnd type="none" w="med" len="med"/>
                          </a:ln>
                        </wps:spPr>
                        <wps:bodyPr upright="1"/>
                      </wps:wsp>
                      <wps:wsp>
                        <wps:cNvPr id="55" name="Line 59"/>
                        <wps:cNvSpPr/>
                        <wps:spPr>
                          <a:xfrm>
                            <a:off x="12037" y="2215"/>
                            <a:ext cx="2" cy="270"/>
                          </a:xfrm>
                          <a:prstGeom prst="line">
                            <a:avLst/>
                          </a:prstGeom>
                          <a:ln w="9525" cap="flat" cmpd="sng">
                            <a:solidFill>
                              <a:srgbClr val="000000"/>
                            </a:solidFill>
                            <a:prstDash val="solid"/>
                            <a:headEnd type="none" w="med" len="med"/>
                            <a:tailEnd type="none" w="med" len="med"/>
                          </a:ln>
                        </wps:spPr>
                        <wps:bodyPr upright="1"/>
                      </wps:wsp>
                      <wps:wsp>
                        <wps:cNvPr id="56" name="Line 60"/>
                        <wps:cNvSpPr/>
                        <wps:spPr>
                          <a:xfrm>
                            <a:off x="9946" y="2204"/>
                            <a:ext cx="2" cy="321"/>
                          </a:xfrm>
                          <a:prstGeom prst="line">
                            <a:avLst/>
                          </a:prstGeom>
                          <a:ln w="9525" cap="flat" cmpd="sng">
                            <a:solidFill>
                              <a:srgbClr val="000000"/>
                            </a:solidFill>
                            <a:prstDash val="solid"/>
                            <a:headEnd type="none" w="med" len="med"/>
                            <a:tailEnd type="none" w="med" len="med"/>
                          </a:ln>
                        </wps:spPr>
                        <wps:bodyPr upright="1"/>
                      </wps:wsp>
                      <wps:wsp>
                        <wps:cNvPr id="57" name="Line 61"/>
                        <wps:cNvSpPr/>
                        <wps:spPr>
                          <a:xfrm>
                            <a:off x="10666" y="2228"/>
                            <a:ext cx="2" cy="322"/>
                          </a:xfrm>
                          <a:prstGeom prst="line">
                            <a:avLst/>
                          </a:prstGeom>
                          <a:ln w="9525" cap="flat" cmpd="sng">
                            <a:solidFill>
                              <a:srgbClr val="000000"/>
                            </a:solidFill>
                            <a:prstDash val="solid"/>
                            <a:headEnd type="none" w="med" len="med"/>
                            <a:tailEnd type="none" w="med" len="med"/>
                          </a:ln>
                        </wps:spPr>
                        <wps:bodyPr upright="1"/>
                      </wps:wsp>
                      <wps:wsp>
                        <wps:cNvPr id="58" name="Line 62"/>
                        <wps:cNvSpPr/>
                        <wps:spPr>
                          <a:xfrm>
                            <a:off x="11331" y="2223"/>
                            <a:ext cx="4" cy="318"/>
                          </a:xfrm>
                          <a:prstGeom prst="line">
                            <a:avLst/>
                          </a:prstGeom>
                          <a:ln w="9525" cap="flat" cmpd="sng">
                            <a:solidFill>
                              <a:srgbClr val="000000"/>
                            </a:solidFill>
                            <a:prstDash val="solid"/>
                            <a:headEnd type="none" w="med" len="med"/>
                            <a:tailEnd type="none" w="med" len="med"/>
                          </a:ln>
                        </wps:spPr>
                        <wps:bodyPr upright="1"/>
                      </wps:wsp>
                      <wps:wsp>
                        <wps:cNvPr id="59" name="Line 63"/>
                        <wps:cNvSpPr/>
                        <wps:spPr>
                          <a:xfrm flipV="1">
                            <a:off x="12880" y="2252"/>
                            <a:ext cx="1664" cy="1"/>
                          </a:xfrm>
                          <a:prstGeom prst="line">
                            <a:avLst/>
                          </a:prstGeom>
                          <a:ln w="9525" cap="flat" cmpd="sng">
                            <a:solidFill>
                              <a:srgbClr val="000000"/>
                            </a:solidFill>
                            <a:prstDash val="solid"/>
                            <a:headEnd type="none" w="med" len="med"/>
                            <a:tailEnd type="none" w="med" len="med"/>
                          </a:ln>
                        </wps:spPr>
                        <wps:bodyPr upright="1"/>
                      </wps:wsp>
                      <wps:wsp>
                        <wps:cNvPr id="60" name="Line 64"/>
                        <wps:cNvSpPr/>
                        <wps:spPr>
                          <a:xfrm flipH="1">
                            <a:off x="13786" y="1913"/>
                            <a:ext cx="14" cy="352"/>
                          </a:xfrm>
                          <a:prstGeom prst="line">
                            <a:avLst/>
                          </a:prstGeom>
                          <a:ln w="9525" cap="flat" cmpd="sng">
                            <a:solidFill>
                              <a:srgbClr val="000000"/>
                            </a:solidFill>
                            <a:prstDash val="solid"/>
                            <a:headEnd type="none" w="med" len="med"/>
                            <a:tailEnd type="none" w="med" len="med"/>
                          </a:ln>
                        </wps:spPr>
                        <wps:bodyPr upright="1"/>
                      </wps:wsp>
                      <wps:wsp>
                        <wps:cNvPr id="61" name="Line 65"/>
                        <wps:cNvSpPr/>
                        <wps:spPr>
                          <a:xfrm flipH="1">
                            <a:off x="14534" y="2246"/>
                            <a:ext cx="1" cy="360"/>
                          </a:xfrm>
                          <a:prstGeom prst="line">
                            <a:avLst/>
                          </a:prstGeom>
                          <a:ln w="9525" cap="flat" cmpd="sng">
                            <a:solidFill>
                              <a:srgbClr val="000000"/>
                            </a:solidFill>
                            <a:prstDash val="solid"/>
                            <a:headEnd type="none" w="med" len="med"/>
                            <a:tailEnd type="none" w="med" len="med"/>
                          </a:ln>
                        </wps:spPr>
                        <wps:bodyPr upright="1"/>
                      </wps:wsp>
                      <wps:wsp>
                        <wps:cNvPr id="62" name="Line 66"/>
                        <wps:cNvSpPr/>
                        <wps:spPr>
                          <a:xfrm>
                            <a:off x="12886" y="2273"/>
                            <a:ext cx="2" cy="353"/>
                          </a:xfrm>
                          <a:prstGeom prst="line">
                            <a:avLst/>
                          </a:prstGeom>
                          <a:ln w="9525" cap="flat" cmpd="sng">
                            <a:solidFill>
                              <a:srgbClr val="000000"/>
                            </a:solidFill>
                            <a:prstDash val="solid"/>
                            <a:headEnd type="none" w="med" len="med"/>
                            <a:tailEnd type="none" w="med" len="med"/>
                          </a:ln>
                        </wps:spPr>
                        <wps:bodyPr upright="1"/>
                      </wps:wsp>
                      <wps:wsp>
                        <wps:cNvPr id="63" name="Text Box 67"/>
                        <wps:cNvSpPr txBox="1"/>
                        <wps:spPr>
                          <a:xfrm>
                            <a:off x="13489" y="2648"/>
                            <a:ext cx="491" cy="3511"/>
                          </a:xfrm>
                          <a:prstGeom prst="rect">
                            <a:avLst/>
                          </a:prstGeom>
                          <a:noFill/>
                          <a:ln w="9525" cap="flat" cmpd="sng">
                            <a:solidFill>
                              <a:srgbClr val="000000"/>
                            </a:solidFill>
                            <a:prstDash val="solid"/>
                            <a:miter/>
                            <a:headEnd type="none" w="med" len="med"/>
                            <a:tailEnd type="none" w="med" len="med"/>
                          </a:ln>
                        </wps:spPr>
                        <wps:txbx>
                          <w:txbxContent>
                            <w:p>
                              <w:pPr>
                                <w:spacing w:line="320" w:lineRule="exact"/>
                                <w:jc w:val="distribute"/>
                                <w:rPr>
                                  <w:rFonts w:eastAsia="黑体"/>
                                  <w:color w:val="000000"/>
                                  <w:szCs w:val="21"/>
                                </w:rPr>
                              </w:pPr>
                              <w:r>
                                <w:rPr>
                                  <w:rFonts w:hint="eastAsia" w:eastAsia="黑体"/>
                                  <w:color w:val="000000"/>
                                  <w:szCs w:val="21"/>
                                </w:rPr>
                                <w:t xml:space="preserve">教学经费保障系统 </w:t>
                              </w:r>
                            </w:p>
                          </w:txbxContent>
                        </wps:txbx>
                        <wps:bodyPr vert="eaVert" wrap="square" lIns="54000" tIns="54000" rIns="54000" bIns="54000" upright="1"/>
                      </wps:wsp>
                      <wps:wsp>
                        <wps:cNvPr id="64" name="Line 68"/>
                        <wps:cNvSpPr/>
                        <wps:spPr>
                          <a:xfrm flipH="1">
                            <a:off x="13782" y="2267"/>
                            <a:ext cx="2" cy="400"/>
                          </a:xfrm>
                          <a:prstGeom prst="line">
                            <a:avLst/>
                          </a:prstGeom>
                          <a:ln w="9525" cap="flat" cmpd="sng">
                            <a:solidFill>
                              <a:srgbClr val="000000"/>
                            </a:solidFill>
                            <a:prstDash val="solid"/>
                            <a:headEnd type="none" w="med" len="med"/>
                            <a:tailEnd type="none" w="med" len="med"/>
                          </a:ln>
                        </wps:spPr>
                        <wps:bodyPr upright="1"/>
                      </wps:wsp>
                      <wps:wsp>
                        <wps:cNvPr id="65" name="Text Box 69"/>
                        <wps:cNvSpPr txBox="1"/>
                        <wps:spPr>
                          <a:xfrm>
                            <a:off x="4396" y="7405"/>
                            <a:ext cx="1682" cy="395"/>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eastAsia="黑体"/>
                                  <w:szCs w:val="21"/>
                                </w:rPr>
                              </w:pPr>
                              <w:r>
                                <w:rPr>
                                  <w:rFonts w:hint="eastAsia" w:eastAsia="黑体"/>
                                  <w:szCs w:val="21"/>
                                </w:rPr>
                                <w:t>教学基本单位</w:t>
                              </w:r>
                            </w:p>
                          </w:txbxContent>
                        </wps:txbx>
                        <wps:bodyPr wrap="square" lIns="36000" tIns="36000" rIns="36000" bIns="36000" upright="1"/>
                      </wps:wsp>
                    </wpg:wgp>
                  </a:graphicData>
                </a:graphic>
              </wp:inline>
            </w:drawing>
          </mc:Choice>
          <mc:Fallback>
            <w:pict>
              <v:group id="Group 8" o:spid="_x0000_s1026" o:spt="203" style="height:368.3pt;width:738.5pt;" coordsize="14902,7800" o:gfxdata="UEsDBAoAAAAAAIdO4kAAAAAAAAAAAAAAAAAEAAAAZHJzL1BLAwQUAAAACACHTuJArmaWF9cAAAAG&#10;AQAADwAAAGRycy9kb3ducmV2LnhtbE2PzWrDMBCE74W+g9hCb43spLWLazmE0PYUCvmB0tvG2tgm&#10;1spYip28fZVemsvAMMvMt/n8bFoxUO8aywriSQSCuLS64UrBbvvx9ArCeWSNrWVScCEH8+L+LsdM&#10;25HXNGx8JUIJuwwV1N53mZSurMmgm9iOOGQH2xv0wfaV1D2Oody0chpFiTTYcFiosaNlTeVxczIK&#10;PkccF7P4fVgdD8vLz/bl63sVk1KPD3H0BsLT2f8fwxU/oEMRmPb2xNqJVkF4xP/pNXtO0+D3CtJZ&#10;koAscnmLX/wCUEsDBBQAAAAIAIdO4kDhS/Sw1woAAIaHAAAOAAAAZHJzL2Uyb0RvYy54bWztXduS&#10;27gRfU9V/oGl91gEeFd5vLVZe51UuRJX9vLOkahLRRIZkmON/z6nAfAGSiOadlmcMfww1o0UiT44&#10;3X26Ab3+6fGwtz4lebFLj3cz9sqeWclxma52x83d7I/ff/1bOLOKMj6u4n16TO5mn5Ni9tObv/7l&#10;9SlbJDzdpvtVkls4ybFYnLK72bYss8V8Xiy3ySEuXqVZcsSb6zQ/xCWe5pv5Ko9POPthP+e27c9P&#10;ab7K8nSZFAVefSvfnL0R51+vk2X57/W6SEprfzfDtZXiby7+3tPf+ZvX8WKTx9l2t1SXEY+4ikO8&#10;O+JL61O9jcvYesh3vVMddss8LdJ1+WqZHubper1bJuIecDfM1u7mfZ4+ZOJeNovTJquHCUOrjdPo&#10;0y7/9eljbu1WdzPfn1nH+AAbia+1QhqbU7ZZ4CPv8+y37GMubxAPP6TL/xbWMf1PigFl9MG5/kl6&#10;vmkOe1znBzocd2w9iuH/XA9/8lhaS7wYOUEYebDSEu+5fhC4TBlouYUVe8ctt+/UkcyNbC6PC0Jb&#10;HDSPF/I7xZXVV3LKgLOiGcri64byt22cJcJCBY2TGkqvGsmPu2X5kCdWJMdSfKYayKIexV+28XGT&#10;/FxkQCsNJwb2d4zJu9WuNbqtY+keCmWOIeP61OjEiywvyvdJerDowd0sx0UIJMefPhQlWbb5CBnw&#10;mP662+/FtNkfrROs5nFPHFC/gyP2RwGJ6jrpiu/T1WeMzwlz7W5W/O8hzpOZ9ZDlu822c5uwDuHu&#10;O5ipBvyH3TGxJNboi2FIMpKAf3UHFZpqBLOAOzMLQI0cTtaNFxWMGbd9GJFA7Iip0RyrjfUe3/vU&#10;WLcG2FrSsK33cYkzH7IVhvC4EccW6X63IpvQNRT55v6XfW59ionvxD91CZ2P0XW8jYut/Jx4S97D&#10;NolX744rq/ycgQiOoOwZ2fiQrGbWPgHD0yNxt2W82w/55JNguKn5g2qWSvMLGhthfk8c2DI/YEW2&#10;Z0FgrD9d6yMukd5OWl/M4aetb633u+wfRNAtR8bsyMFkJx7gvpwZDQ9IICBMMUCYLhCiLhAEZY8A&#10;guOHgBThIFBBS40DxQeh4QMKJi6HBjf1BnD/HUJwac6OwIHPKBIlHPQcg/ELdfwwYRxQ/C3SIOkY&#10;vJE4CF33Ag5UomLiA0ywCeMAZmrjQDj3EXzAnCBQjsETvqWJFN2KEATXYCiqZM6kCbnkXpUz3tYx&#10;IM2TQKCk3Pp7+mgx4clbYLDKR7yupBB6/UJ6zmySNyg5YKEeJXghvogShwD5tJwaF/AwLkX/Thnk&#10;YVcmucgQv1cuWT7ePypfPT2NgWGS6+hRylotNHwxergXaFTCfESdUnII8ZUGPudEi/POZtrwqaXE&#10;hnx0MXEofHjoQvIAwQA+gsAaT8Q8X0UlnHMDn/Oa13OETy1x1vDhwu+M8F08dKTgyVikKx2BXfsu&#10;QW6XYxnju+rogGwwbfKpFdIGPbpKOpR8PObJKBiRjyCYFvkEtoqEA35FIjHoeUboqRXWBj26yjoU&#10;PS53ABESVYTza7ATOHW9MBRvGebp1Wqeo9+qRdkGO7owOxQ7gUehsci5fD1qDmxQnMy5TNTzYqIe&#10;hDh6ziWD2hFRD7NtD0GUgI+rp+wBKjsKPgJZhnxeAvnwWgFuyEdXgYeSD+MBlzIwY04PPvBmEj6A&#10;mEnZX0jKTvbWFB9ZGR7BPq7vSfRwX4qCTeSDwnOl+ERGL/yWvmv/zyO6whwf3TNoGGw/ydtP7ttP&#10;bqpQUyOSjrixCrUrQiK4Oy+QOmIbcfCigq+Yi7jJENa3I6znB7m+rM3Hyto000SE5Ua+5iJ5HWE5&#10;kQnQf2yS6yvhfKwS7gaOFKMcLptyGpILQ9W6yZxINjZfLMsaMeqLxKjnx3F98VyG8CMCOd9TXUEO&#10;+sTIdTaIc32VBTiBY7zqj81xfcEdzaVAyxjEMSZ1C+7bermGVSTnyEqO0S2+kW7x/DiuL9LL5Qwj&#10;EAf6knEc912txOOhsCMyB5e64kzm8DWZAxbbYb1MEv+J/8GWneU0En+e20pd1ROZuqonMnVVT26b&#10;uvaFflSZxzFeyOBaRX+Drwv9no13SOd34X8N/s4u6RlaJnpR+ENAp0snqDSOw19ke2A5gIz78K84&#10;RzvGU+01wJ/hv6+L8V4W/vq1BmdsrSGi9gmBPzC7hj9qviD+8zh6wIz/Nf5XrVQGG/X4TzjIEfEf&#10;s10ksBKAMm1pEWADQM9UKwwB1kvlqadQq11IFWQMABlDlewSAyIbNgz45KLuHzMC7FcyIA6PiwAZ&#10;91WzCB4IP9tiQMjJAoCOJyslRnQZLbq8rBCwX9hwxhY2mMsR+skcRLY8tQBYuWDHM+0miXHBjQuu&#10;6xxixavMHVruV3Fhe0mb2ArhT20rBLR4g0sp/+W9ZhXfx1vkfq/U1PZmR5QbbohD4bsMxiQS9NrD&#10;JSTom2IEoVKCfVsE+w0JKRnEQY/dk1mowcEtN0ai6ngbB3rb/lAcsIA2FaNZH/laOKSA4AVX5FgD&#10;hJsCoZbnJSHo0vxQIDg+CQ0CCFivgaMaRlB+wQuu6KIGCLcEAkWVbUbQNfKhQEAtWsanjDb66wBB&#10;pUccba14/XJ2ZIBwUyDUgrVkBF2sPgOE1m5ZHsPCdeIBx5Yyd8MDyiGYzbIk+Ce6SxLtadPmAV0r&#10;vmZ+rP0k86NAcSEwRJuUmf2T3STLrdVaOftFUPd0qtiZ/WjiJfO7AdOa4KrZL5vjDPlf3D71pt0a&#10;aOvpzH5dJ70y+zl1YcD8AXYrOev7mfH9U94Sy62VSjn7dZXyjPnP7pnphwoInDNxjiYKqDRyuRDA&#10;8MBEeaCrGMpIfrAb8AMVBTg2Vi4BNH3zmyhg0jzQlQnlPpeDze8xlQJipyERPjbmV1GAIzfKM7N/&#10;orO/qw5ihaoi/sv7pp+tFwR+1aHOe1qAT77G1AtWKhmaajbYlQfltB1MBNghFccjHmQR0/yAEgUD&#10;VI2ALUME0yQCzNp2OoDq3zAi0MtFUV205nJ1QOMRAAxBA65c62eQMFEkdFVB2eI3mAgCnxaWgwg4&#10;D7TGaRMRNL+5AfBP1A/QJhVSFax3TJEtJi0IDN4xhYXYLkOgwdOzQ7dqYfG4VBAu84FZnHtlce6L&#10;6qFC5NHxRAN0ybMhaRSpheGcY0/CTmrKWbX7hYhVLiPP1KduWZ+iFqRWgQKEMS4mwfY6DKxG0WkY&#10;nk9TeWhqFRPewB9BSAcJA9TKVq0CP+JVLWbg7HytCpuTmOxkwkFJV6SUinIrIFG80G5rbNk/iiBO&#10;yZi05wlUH7fpYZuySElrMVuOAL/Id9URtMzPbF+1rqGZ9Xyt0sFGbzilCQQmmpJ2VUrsb/9F9meO&#10;+lk32P+8OOXIGrax/0Tt39Um5Y4AT9P/2ZSA8RA/1SI9gZS6W+qUaWt/DvIE1ZvarmCsTomfckIq&#10;IHKCnmJNv/NC9Qqs7jJeYbpBIf0wbxsKA9oXz7YwMNdTO9L3q5imh+FZkEKtWYpmFkR7XxQfwCtU&#10;+YH+W0xGs34W9q8lw1qzlppyK0YYrFk7Ln59QsQIvqtlC26z7pddWfRkNOsfSbOmFZFtVzRaqURU&#10;IpVKrqoiTYCqqAj7gZmgZMJBSa1UNlSkq5VDqcilLR2JiYJeiz22R6tck9kxPvm6BeDntt37NjvG&#10;z0/ZZnHaZEJZ2mB3v+1u+TYu4/ZzPD5li4Sn23S/SvI3/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HDQAAW0NvbnRlbnRfVHlwZXNdLnhtbFBL&#10;AQIUAAoAAAAAAIdO4kAAAAAAAAAAAAAAAAAGAAAAAAAAAAAAEAAAACkMAABfcmVscy9QSwECFAAU&#10;AAAACACHTuJAihRmPNEAAACUAQAACwAAAAAAAAABACAAAABNDAAAX3JlbHMvLnJlbHNQSwECFAAK&#10;AAAAAACHTuJAAAAAAAAAAAAAAAAABAAAAAAAAAAAABAAAAAAAAAAZHJzL1BLAQIUABQAAAAIAIdO&#10;4kCuZpYX1wAAAAYBAAAPAAAAAAAAAAEAIAAAACIAAABkcnMvZG93bnJldi54bWxQSwECFAAUAAAA&#10;CACHTuJA4Uv0sNcKAACGhwAADgAAAAAAAAABACAAAAAmAQAAZHJzL2Uyb0RvYy54bWxQSwUGAAAA&#10;AAYABgBZAQAAbw4AAAAA&#10;">
                <o:lock v:ext="edit" grouping="f" rotation="t" aspectratio="f"/>
                <v:rect id="Picture 9" o:spid="_x0000_s1026" o:spt="1" style="position:absolute;left:0;top:0;height:7800;width:14902;"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text="t" aspectratio="t"/>
                </v:rect>
                <v:line id="Line 10" o:spid="_x0000_s1026" o:spt="20" style="position:absolute;left:1723;top:932;height:3;width:12061;" filled="f" stroked="t" coordsize="21600,21600" o:gfxdata="UEsDBAoAAAAAAIdO4kAAAAAAAAAAAAAAAAAEAAAAZHJzL1BLAwQUAAAACACHTuJAdOkX8L0AAADa&#10;AAAADwAAAGRycy9kb3ducmV2LnhtbEWPQWvCQBSE74X+h+UVegl1Vwsi0U0O1UAPXkyVXh/ZZxKa&#10;fRuz28T6691CocdhZr5hNvnVdmKkwbeONcxnCgRx5UzLtYbjR/GyAuEDssHOMWn4IQ959viwwdS4&#10;iQ80lqEWEcI+RQ1NCH0qpa8asuhnrieO3tkNFkOUQy3NgFOE204ulFpKiy3HhQZ7emuo+iq/rQZf&#10;nOhS3JIqUZ+vtaPFZbvfodbPT3O1BhHoGv7Df+13o2EJv1fiDZD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6Rfw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1" o:spid="_x0000_s1026" o:spt="20" style="position:absolute;left:1723;top:951;height:177;width:16;" filled="f" stroked="t" coordsize="21600,21600" o:gfxdata="UEsDBAoAAAAAAIdO4kAAAAAAAAAAAAAAAAAEAAAAZHJzL1BLAwQUAAAACACHTuJAG6Wya7wAAADa&#10;AAAADwAAAGRycy9kb3ducmV2LnhtbEWPT4vCMBTE7wt+h/AEL2ITFVypRg9qYQ97UVe8PppnW2xe&#10;ahP/7H56Iwh7HGbmN8x8+bC1uFHrK8cahokCQZw7U3Gh4WefDaYgfEA2WDsmDb/kYbnofMwxNe7O&#10;W7rtQiEihH2KGsoQmlRKn5dk0SeuIY7eybUWQ5RtIU2L9wi3tRwpNZEWK44LJTa0Kik/765Wg88O&#10;dMn++nlfHceFo9Fl/b1BrXvdoZqBCPQI/+F3+8to+IT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lsmu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2" o:spid="_x0000_s1026" o:spt="20" style="position:absolute;left:10931;top:926;flip:x;height:200;width:12;" filled="f" stroked="t" coordsize="21600,21600" o:gfxdata="UEsDBAoAAAAAAIdO4kAAAAAAAAAAAAAAAAAEAAAAZHJzL1BLAwQUAAAACACHTuJAkZ8DSLkAAADa&#10;AAAADwAAAGRycy9kb3ducmV2LnhtbEVPXWvCMBR9H/gfwhX2tiY6GFttFBGVwWAwV32+Nte22NyU&#10;Jrbdv18eBB8P5ztbjbYRPXW+dqxhligQxIUzNZca8t/dyzsIH5ANNo5Jwx95WC0nTxmmxg38Q/0h&#10;lCKGsE9RQxVCm0rpi4os+sS1xJG7uM5iiLArpelwiOG2kXOl3qTFmmNDhS1tKiquh5vVsD59bV+/&#10;+7N1jfko86OxudrPtX6eztQCRKAxPMR396fRELfGK/EGyO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GfA0i5AAAA2g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13" o:spid="_x0000_s1026" o:spt="20" style="position:absolute;left:3688;top:970;flip:x;height:187;width:1;" filled="f" stroked="t" coordsize="21600,21600" o:gfxdata="UEsDBAoAAAAAAIdO4kAAAAAAAAAAAAAAAAAEAAAAZHJzL1BLAwQUAAAACACHTuJA/tOm07wAAADa&#10;AAAADwAAAGRycy9kb3ducmV2LnhtbEWPQWvCQBSE7wX/w/IEb3XXCKVGVxHRIhQKTdOen9nXJDT7&#10;NmS3Sfz3XUHocZiZb5jNbrSN6KnztWMNi7kCQVw4U3OpIf84PT6D8AHZYOOYNFzJw247edhgatzA&#10;79RnoRQRwj5FDVUIbSqlLyqy6OeuJY7et+sshii7UpoOhwi3jUyUepIWa44LFbZ0qKj4yX6thv3X&#10;63H51l+sa8yqzD+NzdVLovVsulBrEIHG8B++t89GwwpuV+INk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7Tpt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4" o:spid="_x0000_s1026" o:spt="20" style="position:absolute;left:6102;top:951;flip:x;height:177;width:1;" filled="f" stroked="t" coordsize="21600,21600" o:gfxdata="UEsDBAoAAAAAAIdO4kAAAAAAAAAAAAAAAAAEAAAAZHJzL1BLAwQUAAAACACHTuJAFjLugr0AAADb&#10;AAAADwAAAGRycy9kb3ducmV2LnhtbEWPQWvCQBCF70L/wzKF3nRXC0Wjq5SipVAoGNOex+yYBLOz&#10;IbuN9t93DoK3Gd6b975Zba6+VQP1sQlsYToxoIjL4BquLBSH3XgOKiZkh21gsvBHETbrh9EKMxcu&#10;vKchT5WSEI4ZWqhT6jKtY1mTxzgJHbFop9B7TLL2lXY9XiTct3pmzIv22LA01NjRW03lOf/1Fl5/&#10;PrfPX8PRh9YtquLb+cK8z6x9epyaJahE13Q3364/nOALvf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Mu6C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5" o:spid="_x0000_s1026" o:spt="20" style="position:absolute;left:8442;top:951;flip:x;height:177;width:2;" filled="f" stroked="t" coordsize="21600,21600" o:gfxdata="UEsDBAoAAAAAAIdO4kAAAAAAAAAAAAAAAAAEAAAAZHJzL1BLAwQUAAAACACHTuJAeX5LGboAAADb&#10;AAAADwAAAGRycy9kb3ducmV2LnhtbEVP32vCMBB+H/g/hBN8W5MqyFaNIqJDEAZz1eezubVlzaU0&#10;WdX/fhEE3+7j+3nz5dU2oqfO1441pIkCQVw4U3OpIf/evr6B8AHZYOOYNNzIw3IxeJljZtyFv6g/&#10;hFLEEPYZaqhCaDMpfVGRRZ+4ljhyP66zGCLsSmk6vMRw28ixUlNpsebYUGFL64qK38Of1bA67TeT&#10;z/5sXWPey/xobK4+xlqPhqmagQh0DU/xw70zcX4K91/iAX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fks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16" o:spid="_x0000_s1026" o:spt="20" style="position:absolute;left:13778;top:953;flip:x;height:174;width:4;" filled="f" stroked="t" coordsize="21600,21600" o:gfxdata="UEsDBAoAAAAAAIdO4kAAAAAAAAAAAAAAAAAEAAAAZHJzL1BLAwQUAAAACACHTuJAiazVbroAAADb&#10;AAAADwAAAGRycy9kb3ducmV2LnhtbEVP32vCMBB+H/g/hBN8m4kVxuyMIqIiDIRpt+dbc7bF5lKa&#10;WPW/N4Lg2318P286v9padNT6yrGG0VCBIM6dqbjQkB3W758gfEA2WDsmDTfyMJ/13qaYGnfhH+r2&#10;oRAxhH2KGsoQmlRKn5dk0Q9dQxy5o2sthgjbQpoWLzHc1jJR6kNarDg2lNjQsqT8tD9bDYu/79V4&#10;1/1bV5tJkf0am6lNovWgP1JfIAJdw0v8dG9NnJ/A45d4gJzd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rNVu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Text Box 17" o:spid="_x0000_s1026" o:spt="202" type="#_x0000_t202" style="position:absolute;left:1050;top:1180;height:725;width:1583;" filled="f" stroked="t" coordsize="21600,21600" o:gfxdata="UEsDBAoAAAAAAIdO4kAAAAAAAAAAAAAAAAAEAAAAZHJzL1BLAwQUAAAACACHTuJAC1EzQr4AAADb&#10;AAAADwAAAGRycy9kb3ducmV2LnhtbEWPQW/CMAyF75P4D5En7QZpqQSjI/QAm7QjdN24eo1pqzVO&#10;1WQt49cTJKTdbL33PT+vs7NpxUC9aywriGcRCOLS6oYrBcXH2/QZhPPIGlvLpOCPHGSbycMaU21H&#10;PtCQ+0qEEHYpKqi971IpXVmTQTezHXHQTrY36MPaV1L3OIZw08p5FC2kwYbDhRo72tZU/uS/JtSY&#10;H4tkt89pucTvZPd6+Vydvlqlnh7j6AWEp7P/N9/pdx24BG6/hAHk5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1EzQ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jc w:val="center"/>
                          <w:rPr>
                            <w:rFonts w:hint="eastAsia" w:eastAsia="黑体"/>
                            <w:color w:val="000000"/>
                            <w:szCs w:val="21"/>
                          </w:rPr>
                        </w:pPr>
                        <w:r>
                          <w:rPr>
                            <w:rFonts w:hint="eastAsia" w:eastAsia="黑体"/>
                            <w:color w:val="000000"/>
                            <w:szCs w:val="21"/>
                          </w:rPr>
                          <w:t>理念与目标</w:t>
                        </w:r>
                      </w:p>
                      <w:p>
                        <w:pPr>
                          <w:jc w:val="center"/>
                          <w:rPr>
                            <w:rFonts w:hint="eastAsia" w:eastAsia="黑体"/>
                            <w:color w:val="000000"/>
                            <w:szCs w:val="21"/>
                          </w:rPr>
                        </w:pPr>
                        <w:r>
                          <w:rPr>
                            <w:rFonts w:hint="eastAsia" w:eastAsia="黑体"/>
                            <w:color w:val="000000"/>
                            <w:szCs w:val="21"/>
                          </w:rPr>
                          <w:t>系统</w:t>
                        </w:r>
                      </w:p>
                    </w:txbxContent>
                  </v:textbox>
                </v:shape>
                <v:shape id="Text Box 18" o:spid="_x0000_s1026" o:spt="202" type="#_x0000_t202" style="position:absolute;left:1050;top:2573;height:3814;width:1670;" filled="f" stroked="t" coordsize="21600,21600" o:gfxdata="UEsDBAoAAAAAAIdO4kAAAAAAAAAAAAAAAAAEAAAAZHJzL1BLAwQUAAAACACHTuJAhLirNr4AAADb&#10;AAAADwAAAGRycy9kb3ducmV2LnhtbEWPzW7CMBCE70i8g7VIvREHUkGbYjiUVuqxhBSu23jzo8br&#10;KHYD7dNjJCRuu5r5ZmdXm7NpxUC9aywrmEUxCOLC6oYrBfn+ffoEwnlkja1lUvBHDjbr8WiFqbYn&#10;3tGQ+UqEEHYpKqi971IpXVGTQRfZjjhope0N+rD2ldQ9nkK4aeU8jhfSYMPhQo0dvdZU/GS/JtSY&#10;H/Nk+5nRconfyfbt/+u5PLRKPUxm8QsIT2d/N9/oDx24R7j+EgaQ6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LirN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rPr>
                            <w:rFonts w:hint="eastAsia" w:eastAsia="黑体"/>
                            <w:color w:val="000000"/>
                            <w:szCs w:val="21"/>
                          </w:rPr>
                        </w:pPr>
                        <w:r>
                          <w:rPr>
                            <w:rFonts w:hint="eastAsia" w:eastAsia="黑体"/>
                            <w:color w:val="000000"/>
                            <w:szCs w:val="21"/>
                          </w:rPr>
                          <w:t>基本理念；</w:t>
                        </w:r>
                      </w:p>
                      <w:p>
                        <w:pPr>
                          <w:rPr>
                            <w:rFonts w:hint="eastAsia" w:eastAsia="黑体"/>
                            <w:color w:val="000000"/>
                            <w:szCs w:val="21"/>
                          </w:rPr>
                        </w:pPr>
                        <w:r>
                          <w:rPr>
                            <w:rFonts w:hint="eastAsia" w:eastAsia="黑体"/>
                            <w:color w:val="000000"/>
                            <w:szCs w:val="21"/>
                          </w:rPr>
                          <w:t>基本目标；</w:t>
                        </w:r>
                      </w:p>
                      <w:p>
                        <w:pPr>
                          <w:rPr>
                            <w:rFonts w:hint="eastAsia" w:eastAsia="黑体"/>
                            <w:color w:val="000000"/>
                            <w:szCs w:val="21"/>
                          </w:rPr>
                        </w:pPr>
                        <w:r>
                          <w:rPr>
                            <w:rFonts w:hint="eastAsia" w:eastAsia="黑体"/>
                            <w:color w:val="000000"/>
                            <w:szCs w:val="21"/>
                          </w:rPr>
                          <w:t>教学过程各主要环节质量目标；</w:t>
                        </w:r>
                      </w:p>
                      <w:p>
                        <w:pPr>
                          <w:rPr>
                            <w:rFonts w:hint="eastAsia" w:eastAsia="黑体"/>
                            <w:color w:val="000000"/>
                            <w:szCs w:val="21"/>
                          </w:rPr>
                        </w:pPr>
                        <w:r>
                          <w:rPr>
                            <w:rFonts w:hint="eastAsia" w:eastAsia="黑体"/>
                            <w:color w:val="000000"/>
                            <w:szCs w:val="21"/>
                          </w:rPr>
                          <w:t>影响教学质量的质量目标；</w:t>
                        </w:r>
                      </w:p>
                      <w:p>
                        <w:pPr>
                          <w:rPr>
                            <w:rFonts w:hint="eastAsia" w:eastAsia="黑体"/>
                            <w:color w:val="000000"/>
                            <w:szCs w:val="21"/>
                          </w:rPr>
                        </w:pPr>
                        <w:r>
                          <w:rPr>
                            <w:rFonts w:hint="eastAsia" w:eastAsia="黑体"/>
                            <w:color w:val="000000"/>
                            <w:szCs w:val="21"/>
                          </w:rPr>
                          <w:t>教学条件及教学保障的质量目标；</w:t>
                        </w:r>
                      </w:p>
                      <w:p>
                        <w:pPr>
                          <w:rPr>
                            <w:rFonts w:hint="eastAsia" w:eastAsia="黑体"/>
                            <w:color w:val="000000"/>
                            <w:szCs w:val="21"/>
                          </w:rPr>
                        </w:pPr>
                      </w:p>
                    </w:txbxContent>
                  </v:textbox>
                </v:shape>
                <v:shape id="Text Box 19" o:spid="_x0000_s1026" o:spt="202" type="#_x0000_t202" style="position:absolute;left:2847;top:2577;height:2224;width:1562;" filled="f" stroked="t" coordsize="21600,21600" o:gfxdata="UEsDBAoAAAAAAIdO4kAAAAAAAAAAAAAAAAAEAAAAZHJzL1BLAwQUAAAACACHTuJA6/QOrb4AAADb&#10;AAAADwAAAGRycy9kb3ducmV2LnhtbEWPzW7CMBCE70i8g7VIvREHokKbYjiUVuqxhBSu23jzo8br&#10;KHYD7dNjJCRuu5r5ZmdXm7NpxUC9aywrmEUxCOLC6oYrBfn+ffoEwnlkja1lUvBHDjbr8WiFqbYn&#10;3tGQ+UqEEHYpKqi971IpXVGTQRfZjjhope0N+rD2ldQ9nkK4aeU8jhfSYMPhQo0dvdZU/GS/JtSY&#10;H/Nk+5nRconfyfbt/+u5PLRKPUxm8QsIT2d/N9/oDx24R7j+EgaQ6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QOrb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rPr>
                            <w:rFonts w:hint="eastAsia" w:eastAsia="黑体"/>
                            <w:color w:val="000000"/>
                            <w:szCs w:val="21"/>
                          </w:rPr>
                        </w:pPr>
                        <w:r>
                          <w:rPr>
                            <w:rFonts w:hint="eastAsia" w:ascii="宋体" w:hAnsi="宋体" w:eastAsia="黑体"/>
                            <w:color w:val="000000"/>
                            <w:szCs w:val="21"/>
                          </w:rPr>
                          <w:t>纲领性、指导性文件；</w:t>
                        </w:r>
                      </w:p>
                      <w:p>
                        <w:pPr>
                          <w:rPr>
                            <w:rFonts w:hint="eastAsia" w:ascii="宋体" w:hAnsi="宋体" w:eastAsia="黑体"/>
                            <w:color w:val="000000"/>
                            <w:szCs w:val="21"/>
                          </w:rPr>
                        </w:pPr>
                        <w:r>
                          <w:rPr>
                            <w:rFonts w:hint="eastAsia" w:ascii="宋体" w:hAnsi="宋体" w:eastAsia="黑体"/>
                            <w:color w:val="000000"/>
                            <w:szCs w:val="21"/>
                          </w:rPr>
                          <w:t>管理规范；</w:t>
                        </w:r>
                      </w:p>
                      <w:p>
                        <w:pPr>
                          <w:rPr>
                            <w:rFonts w:hint="eastAsia" w:ascii="宋体" w:hAnsi="宋体" w:eastAsia="黑体"/>
                            <w:color w:val="000000"/>
                            <w:szCs w:val="21"/>
                          </w:rPr>
                        </w:pPr>
                        <w:r>
                          <w:rPr>
                            <w:rFonts w:hint="eastAsia" w:ascii="宋体" w:hAnsi="宋体" w:eastAsia="黑体"/>
                            <w:color w:val="000000"/>
                            <w:szCs w:val="21"/>
                          </w:rPr>
                          <w:t>方案措施性文件；</w:t>
                        </w:r>
                      </w:p>
                      <w:p>
                        <w:pPr>
                          <w:rPr>
                            <w:rFonts w:hint="eastAsia" w:eastAsia="黑体"/>
                            <w:color w:val="000000"/>
                            <w:szCs w:val="21"/>
                          </w:rPr>
                        </w:pPr>
                        <w:r>
                          <w:rPr>
                            <w:rFonts w:hint="eastAsia" w:ascii="宋体" w:hAnsi="宋体" w:eastAsia="黑体"/>
                            <w:color w:val="000000"/>
                            <w:szCs w:val="21"/>
                          </w:rPr>
                          <w:t>记录性文件</w:t>
                        </w:r>
                      </w:p>
                      <w:p>
                        <w:pPr>
                          <w:rPr>
                            <w:rFonts w:hint="eastAsia" w:eastAsia="黑体"/>
                            <w:color w:val="000000"/>
                            <w:szCs w:val="21"/>
                          </w:rPr>
                        </w:pPr>
                      </w:p>
                    </w:txbxContent>
                  </v:textbox>
                </v:shape>
                <v:shape id="Text Box 20" o:spid="_x0000_s1026" o:spt="202" type="#_x0000_t202" style="position:absolute;left:2833;top:1196;height:728;width:1703;" filled="f" stroked="t" coordsize="21600,21600" o:gfxdata="UEsDBAoAAAAAAIdO4kAAAAAAAAAAAAAAAAAEAAAAZHJzL1BLAwQUAAAACACHTuJAGyaQ2r4AAADb&#10;AAAADwAAAGRycy9kb3ducmV2LnhtbEWPzW7CMBCE75V4B2uReitOiAQlxcmhFKnHNlC4LvHmR43X&#10;UWwI5elxpUq97Wrmm51d51fTiQsNrrWsIJ5FIIhLq1uuFex326dnEM4ja+wsk4IfcpBnk4c1ptqO&#10;/EmXwtcihLBLUUHjfZ9K6cqGDLqZ7YmDVtnBoA/rUEs94BjCTSfnUbSQBlsOFxrs6bWh8rs4m1Bj&#10;ftwnm4+Clks8JZu329eqOnRKPU7j6AWEp6v/N//R7zpwC/j9JQwg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yaQ2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jc w:val="center"/>
                          <w:rPr>
                            <w:rFonts w:hint="eastAsia" w:eastAsia="黑体"/>
                            <w:color w:val="000000"/>
                            <w:szCs w:val="21"/>
                          </w:rPr>
                        </w:pPr>
                        <w:r>
                          <w:rPr>
                            <w:rFonts w:hint="eastAsia" w:eastAsia="黑体"/>
                            <w:color w:val="000000"/>
                            <w:szCs w:val="21"/>
                          </w:rPr>
                          <w:t>管理文件</w:t>
                        </w:r>
                      </w:p>
                      <w:p>
                        <w:pPr>
                          <w:jc w:val="center"/>
                          <w:rPr>
                            <w:rFonts w:hint="eastAsia" w:eastAsia="黑体"/>
                            <w:color w:val="000000"/>
                            <w:szCs w:val="21"/>
                          </w:rPr>
                        </w:pPr>
                        <w:r>
                          <w:rPr>
                            <w:rFonts w:hint="eastAsia" w:eastAsia="黑体"/>
                            <w:color w:val="000000"/>
                            <w:szCs w:val="21"/>
                          </w:rPr>
                          <w:t>系统</w:t>
                        </w:r>
                      </w:p>
                      <w:p>
                        <w:pPr>
                          <w:jc w:val="center"/>
                          <w:rPr>
                            <w:rFonts w:hint="eastAsia" w:eastAsia="黑体"/>
                            <w:color w:val="000000"/>
                            <w:szCs w:val="21"/>
                          </w:rPr>
                        </w:pPr>
                      </w:p>
                    </w:txbxContent>
                  </v:textbox>
                </v:shape>
                <v:shape id="Text Box 21" o:spid="_x0000_s1026" o:spt="202" type="#_x0000_t202" style="position:absolute;left:5158;top:1184;height:727;width:1704;" filled="f" stroked="t" coordsize="21600,21600" o:gfxdata="UEsDBAoAAAAAAIdO4kAAAAAAAAAAAAAAAAAEAAAAZHJzL1BLAwQUAAAACACHTuJAdGo1QbwAAADb&#10;AAAADwAAAGRycy9kb3ducmV2LnhtbEWPS4/CMAyE7yvxHyIjcVtSQKJLIXDgIXGELo+raUxb0ThV&#10;E56/niCttDdbM994PJk9TCVu1LjSsoJeNwJBnFldcq5g97v6/gHhPLLGyjIpeJKD2bT1NcFE2ztv&#10;6Zb6XIQQdgkqKLyvEyldVpBB17U1cdDOtjHow9rkUjd4D+Gmkv0oGkqDJYcLBdY0Lyi7pFcTavSP&#10;u8Fik1Ic42mwWL72o/OhUqrT7kVjEJ4e/t/8R6914GL4/BIGkN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RqNUG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jc w:val="center"/>
                          <w:rPr>
                            <w:rFonts w:hint="eastAsia" w:eastAsia="黑体"/>
                            <w:color w:val="000000"/>
                            <w:szCs w:val="21"/>
                          </w:rPr>
                        </w:pPr>
                        <w:r>
                          <w:rPr>
                            <w:rFonts w:hint="eastAsia" w:eastAsia="黑体"/>
                            <w:color w:val="000000"/>
                            <w:szCs w:val="21"/>
                          </w:rPr>
                          <w:t>领导组织</w:t>
                        </w:r>
                      </w:p>
                      <w:p>
                        <w:pPr>
                          <w:jc w:val="center"/>
                          <w:rPr>
                            <w:rFonts w:hint="eastAsia" w:eastAsia="黑体"/>
                            <w:color w:val="000000"/>
                            <w:szCs w:val="21"/>
                          </w:rPr>
                        </w:pPr>
                        <w:r>
                          <w:rPr>
                            <w:rFonts w:hint="eastAsia" w:eastAsia="黑体"/>
                            <w:color w:val="000000"/>
                            <w:szCs w:val="21"/>
                          </w:rPr>
                          <w:t>系统</w:t>
                        </w:r>
                      </w:p>
                      <w:p>
                        <w:pPr>
                          <w:jc w:val="center"/>
                          <w:rPr>
                            <w:rFonts w:hint="eastAsia" w:eastAsia="黑体"/>
                            <w:color w:val="000000"/>
                            <w:szCs w:val="21"/>
                          </w:rPr>
                        </w:pPr>
                      </w:p>
                    </w:txbxContent>
                  </v:textbox>
                </v:shape>
                <v:shape id="Text Box 22" o:spid="_x0000_s1026" o:spt="202" type="#_x0000_t202" style="position:absolute;left:4234;top:99;height:489;width:7350;" filled="f" stroked="t" coordsize="21600,21600" o:gfxdata="UEsDBAoAAAAAAIdO4kAAAAAAAAAAAAAAAAAEAAAAZHJzL1BLAwQUAAAACACHTuJABfWhM74AAADb&#10;AAAADwAAAGRycy9kb3ducmV2LnhtbEWPS2/CQAyE75X6H1auxA02gFTawIZDKRLHNqTlarLOQ2S9&#10;UXZ5tL++PiD15pHnG49X65vr1IWG0Ho2MJ0koIhLb1uuDRT77fgFVIjIFjvPZOCHAqyzx4cVptZf&#10;+ZMueayVhHBI0UATY59qHcqGHIaJ74llV/nBYRQ51NoOeJVw1+lZkjxrhy3LhQZ7emuoPOVnJzVm&#10;h2K++chpscDjfPP++/VafXfGjJ6myRJUpFv8N9/pnRVOysovMo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fWhM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jc w:val="center"/>
                          <w:rPr>
                            <w:rFonts w:hint="eastAsia" w:ascii="黑体" w:eastAsia="黑体"/>
                            <w:color w:val="000000"/>
                            <w:szCs w:val="21"/>
                          </w:rPr>
                        </w:pPr>
                        <w:r>
                          <w:rPr>
                            <w:rFonts w:hint="eastAsia" w:ascii="黑体" w:eastAsia="黑体"/>
                            <w:color w:val="000000"/>
                            <w:szCs w:val="21"/>
                          </w:rPr>
                          <w:t>遵义医学院医学与科技学院本科教学质量监控体系</w:t>
                        </w:r>
                      </w:p>
                    </w:txbxContent>
                  </v:textbox>
                </v:shape>
                <v:shape id="Text Box 23" o:spid="_x0000_s1026" o:spt="202" type="#_x0000_t202" style="position:absolute;left:7570;top:1163;height:724;width:1707;" filled="f" stroked="t" coordsize="21600,21600" o:gfxdata="UEsDBAoAAAAAAIdO4kAAAAAAAAAAAAAAAAAEAAAAZHJzL1BLAwQUAAAACACHTuJAarkEqLwAAADb&#10;AAAADwAAAGRycy9kb3ducmV2LnhtbEWPSY/CMAyF7yPxHyIjcYMUkFgKgQOLxJEp29U0pq1onKoJ&#10;668nIyHNzdZ73/PzdP40pbhT7QrLCrqdCARxanXBmYL9bt0egXAeWWNpmRS8yMF81viZYqztg3/p&#10;nvhMhBB2MSrIva9iKV2ak0HXsRVx0C62NujDWmdS1/gI4aaUvSgaSIMFhws5VrTIKb0mNxNq9E77&#10;/nKb0HCI5/5y9T6ML8dSqVazG01AeHr6f/OX3ujAjeHvlzCAnH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q5BKi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spacing w:line="360" w:lineRule="auto"/>
                          <w:jc w:val="center"/>
                          <w:rPr>
                            <w:rFonts w:eastAsia="黑体"/>
                            <w:color w:val="000000"/>
                            <w:szCs w:val="21"/>
                          </w:rPr>
                        </w:pPr>
                        <w:r>
                          <w:rPr>
                            <w:rFonts w:hint="eastAsia" w:eastAsia="黑体"/>
                            <w:color w:val="000000"/>
                            <w:szCs w:val="21"/>
                          </w:rPr>
                          <w:t>信息系统</w:t>
                        </w:r>
                      </w:p>
                    </w:txbxContent>
                  </v:textbox>
                </v:shape>
                <v:shape id="Text Box 24" o:spid="_x0000_s1026" o:spt="202" type="#_x0000_t202" style="position:absolute;left:10056;top:1140;height:723;width:1700;" filled="f" stroked="t" coordsize="21600,21600" o:gfxdata="UEsDBAoAAAAAAIdO4kAAAAAAAAAAAAAAAAAEAAAAZHJzL1BLAwQUAAAACACHTuJANe9niL0AAADb&#10;AAAADwAAAGRycy9kb3ducmV2LnhtbEWPy27CQAxF95X6DyNXYlcmBAloysCCh8SyBChbkzFJ1Iwn&#10;ygyP8vV4UalL6/oeH0/nd9eoK3Wh9mxg0E9AERfe1lwa2O/W7xNQISJbbDyTgV8KMJ+9vkwxs/7G&#10;W7rmsVQC4ZChgSrGNtM6FBU5DH3fEkt29p3DKGNXatvhTeCu0WmSjLTDmuVChS0tKip+8osTjfS4&#10;Hy6/chqP8TRcrh6Hj/N3Y0zvbZB8gop0j//Lf+2NNZCKvfwiANC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72eI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spacing w:line="360" w:lineRule="auto"/>
                          <w:jc w:val="center"/>
                          <w:rPr>
                            <w:rFonts w:eastAsia="黑体"/>
                            <w:color w:val="000000"/>
                            <w:szCs w:val="21"/>
                          </w:rPr>
                        </w:pPr>
                        <w:r>
                          <w:rPr>
                            <w:rFonts w:hint="eastAsia" w:eastAsia="黑体"/>
                            <w:color w:val="000000"/>
                            <w:szCs w:val="21"/>
                          </w:rPr>
                          <w:t>评价系统</w:t>
                        </w:r>
                      </w:p>
                    </w:txbxContent>
                  </v:textbox>
                </v:shape>
                <v:shape id="Text Box 25" o:spid="_x0000_s1026" o:spt="202" type="#_x0000_t202" style="position:absolute;left:12722;top:1130;height:756;width:1799;" filled="f" stroked="t" coordsize="21600,21600" o:gfxdata="UEsDBAoAAAAAAIdO4kAAAAAAAAAAAAAAAAAEAAAAZHJzL1BLAwQUAAAACACHTuJAWqPCE74AAADb&#10;AAAADwAAAGRycy9kb3ducmV2LnhtbEWPS2/CMBCE75X4D9Yi9QbOQ4KSxnAgrdQjTXlct/HmIeJ1&#10;FLtA++vrSkg9jmbnm518czO9uNDoOssK4nkEgriyuuNGwf7jdfYEwnlkjb1lUvBNDjbryUOOmbZX&#10;fqdL6RsRIOwyVNB6P2RSuqolg25uB+Lg1XY06IMcG6lHvAa46WUSRQtpsOPQ0OJA25aqc/llwhvJ&#10;aZ8Wu5KWS/xMi5efw6o+9ko9TuPoGYSnm/8/vqfftIIkhr8tAQB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PCE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jc w:val="center"/>
                          <w:rPr>
                            <w:rFonts w:hint="eastAsia" w:eastAsia="黑体"/>
                            <w:color w:val="000000"/>
                            <w:szCs w:val="21"/>
                          </w:rPr>
                        </w:pPr>
                        <w:r>
                          <w:rPr>
                            <w:rFonts w:hint="eastAsia" w:eastAsia="黑体"/>
                            <w:color w:val="000000"/>
                            <w:szCs w:val="21"/>
                          </w:rPr>
                          <w:t>支持与保障</w:t>
                        </w:r>
                      </w:p>
                      <w:p>
                        <w:pPr>
                          <w:jc w:val="center"/>
                          <w:rPr>
                            <w:rFonts w:eastAsia="黑体"/>
                            <w:color w:val="000000"/>
                            <w:szCs w:val="21"/>
                          </w:rPr>
                        </w:pPr>
                        <w:r>
                          <w:rPr>
                            <w:rFonts w:hint="eastAsia" w:eastAsia="黑体"/>
                            <w:color w:val="000000"/>
                            <w:szCs w:val="21"/>
                          </w:rPr>
                          <w:t>系统</w:t>
                        </w:r>
                      </w:p>
                    </w:txbxContent>
                  </v:textbox>
                </v:shape>
                <v:shape id="Text Box 26" o:spid="_x0000_s1026" o:spt="202" type="#_x0000_t202" style="position:absolute;left:4652;top:2625;height:395;width:1090;" filled="f" stroked="t" coordsize="21600,21600" o:gfxdata="UEsDBAoAAAAAAIdO4kAAAAAAAAAAAAAAAAAEAAAAZHJzL1BLAwQUAAAACACHTuJAaeh8wb0AAADb&#10;AAAADwAAAGRycy9kb3ducmV2LnhtbEWP3YrCMBSE74V9h3AWvJE1tYgu1ejFyoIoXvjzAMfmbFNs&#10;TmqTtfXtjSB4OczMN8x82dlK3KjxpWMFo2ECgjh3uuRCwen4+/UNwgdkjZVjUnAnD8vFR2+OmXYt&#10;7+l2CIWIEPYZKjAh1JmUPjdk0Q9dTRy9P9dYDFE2hdQNthFuK5kmyURaLDkuGKzpx1B+OfxbBbvc&#10;XAeby7nbb8dpMb23x9pMVkr1P0fJDESgLrzDr/ZaK0hTeH6JP0A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6HzB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1mm,1mm,1mm,1mm">
                    <w:txbxContent>
                      <w:p>
                        <w:pPr>
                          <w:jc w:val="center"/>
                          <w:rPr>
                            <w:rFonts w:hint="eastAsia" w:eastAsia="黑体"/>
                            <w:color w:val="000000"/>
                            <w:szCs w:val="21"/>
                          </w:rPr>
                        </w:pPr>
                        <w:r>
                          <w:rPr>
                            <w:rFonts w:hint="eastAsia" w:eastAsia="黑体"/>
                            <w:color w:val="000000"/>
                            <w:szCs w:val="21"/>
                          </w:rPr>
                          <w:t>组织机构</w:t>
                        </w:r>
                      </w:p>
                    </w:txbxContent>
                  </v:textbox>
                </v:shape>
                <v:shape id="Text Box 27" o:spid="_x0000_s1026" o:spt="202" type="#_x0000_t202" style="position:absolute;left:4707;top:5714;height:1407;width:1024;" filled="f" stroked="t" coordsize="21600,21600" o:gfxdata="UEsDBAoAAAAAAIdO4kAAAAAAAAAAAAAAAAAEAAAAZHJzL1BLAwQUAAAACACHTuJABqTZWr8AAADb&#10;AAAADwAAAGRycy9kb3ducmV2LnhtbEWP3WrCQBSE7wu+w3KE3hTdmBaV6MaLFqG09MKfBzhmj9mQ&#10;7NmYXU18+26h4OUwM98w681gG3GjzleOFcymCQjiwumKSwXHw3ayBOEDssbGMSm4k4dNPnpaY6Zd&#10;zzu67UMpIoR9hgpMCG0mpS8MWfRT1xJH7+w6iyHKrpS6wz7CbSPTJJlLixXHBYMtvRsq6v3VKvgp&#10;zOXlqz4Nu++3tFzc+0Nr5h9KPY9nyQpEoCE8wv/tT60gfYW/L/EHy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ak2Vq/&#10;AAAA2wAAAA8AAAAAAAAAAQAgAAAAIgAAAGRycy9kb3ducmV2LnhtbFBLAQIUABQAAAAIAIdO4kAz&#10;LwWeOwAAADkAAAAQAAAAAAAAAAEAIAAAAA4BAABkcnMvc2hhcGV4bWwueG1sUEsFBgAAAAAGAAYA&#10;WwEAALgDAAAAAA==&#10;">
                  <v:fill on="f" focussize="0,0"/>
                  <v:stroke color="#000000" joinstyle="miter"/>
                  <v:imagedata o:title=""/>
                  <o:lock v:ext="edit" aspectratio="f"/>
                  <v:textbox inset="1mm,1mm,1mm,1mm">
                    <w:txbxContent>
                      <w:p>
                        <w:pPr>
                          <w:rPr>
                            <w:rFonts w:hint="eastAsia" w:eastAsia="黑体"/>
                            <w:color w:val="000000"/>
                            <w:szCs w:val="21"/>
                          </w:rPr>
                        </w:pPr>
                        <w:r>
                          <w:rPr>
                            <w:rFonts w:hint="eastAsia" w:eastAsia="黑体"/>
                            <w:color w:val="000000"/>
                            <w:szCs w:val="21"/>
                          </w:rPr>
                          <w:t>部系教学质量监控领导小组</w:t>
                        </w:r>
                      </w:p>
                      <w:p>
                        <w:pPr>
                          <w:rPr>
                            <w:rFonts w:hint="eastAsia" w:eastAsia="黑体"/>
                            <w:color w:val="000000"/>
                            <w:szCs w:val="21"/>
                          </w:rPr>
                        </w:pPr>
                      </w:p>
                    </w:txbxContent>
                  </v:textbox>
                </v:shape>
                <v:shape id="Text Box 28" o:spid="_x0000_s1026" o:spt="202" type="#_x0000_t202" style="position:absolute;left:3600;top:4960;height:394;width:2700;" filled="f" stroked="t" coordsize="21600,21600" o:gfxdata="UEsDBAoAAAAAAIdO4kAAAAAAAAAAAAAAAAAEAAAAZHJzL1BLAwQUAAAACACHTuJAiU1BLr0AAADb&#10;AAAADwAAAGRycy9kb3ducmV2LnhtbEWPQYvCMBSE74L/ITzBi6ypRXTpGj0ogrh4UPcHvG3eNsXm&#10;pTbR1n+/EQSPw8x8wyxWna3EnRpfOlYwGScgiHOnSy4U/Jy3H58gfEDWWDkmBQ/ysFr2ewvMtGv5&#10;SPdTKESEsM9QgQmhzqT0uSGLfuxq4uj9ucZiiLIppG6wjXBbyTRJZtJiyXHBYE1rQ/nldLMKDrm5&#10;jvaX3+74PU2L+aM912a2UWo4mCRfIAJ14R1+tXdaQTqF55f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TUEu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1mm,1mm,1mm,1mm">
                    <w:txbxContent>
                      <w:p>
                        <w:pPr>
                          <w:jc w:val="center"/>
                          <w:rPr>
                            <w:rFonts w:hint="eastAsia" w:eastAsia="黑体"/>
                            <w:color w:val="000000"/>
                            <w:szCs w:val="21"/>
                          </w:rPr>
                        </w:pPr>
                        <w:r>
                          <w:rPr>
                            <w:rFonts w:hint="eastAsia" w:eastAsia="黑体"/>
                            <w:color w:val="000000"/>
                            <w:szCs w:val="21"/>
                          </w:rPr>
                          <w:t xml:space="preserve">    教学办</w:t>
                        </w:r>
                      </w:p>
                    </w:txbxContent>
                  </v:textbox>
                </v:shape>
                <v:shape id="Text Box 29" o:spid="_x0000_s1026" o:spt="202" type="#_x0000_t202" style="position:absolute;left:4738;top:3287;height:1391;width:881;" filled="f" stroked="t" coordsize="21600,21600" o:gfxdata="UEsDBAoAAAAAAIdO4kAAAAAAAAAAAAAAAAAEAAAAZHJzL1BLAwQUAAAACACHTuJA5gHktb8AAADb&#10;AAAADwAAAGRycy9kb3ducmV2LnhtbEWP3WrCQBSE7wu+w3KE3hTdGFqV6MaLFqG09MKfBzhmj9mQ&#10;7NmYXU18+26h4OUwM98w681gG3GjzleOFcymCQjiwumKSwXHw3ayBOEDssbGMSm4k4dNPnpaY6Zd&#10;zzu67UMpIoR9hgpMCG0mpS8MWfRT1xJH7+w6iyHKrpS6wz7CbSPTJJlLixXHBYMtvRsq6v3VKvgp&#10;zOXlqz4Nu+/XtFzc+0Nr5h9KPY9nyQpEoCE8wv/tT60gfYO/L/EHy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YB5LW/&#10;AAAA2wAAAA8AAAAAAAAAAQAgAAAAIgAAAGRycy9kb3ducmV2LnhtbFBLAQIUABQAAAAIAIdO4kAz&#10;LwWeOwAAADkAAAAQAAAAAAAAAAEAIAAAAA4BAABkcnMvc2hhcGV4bWwueG1sUEsFBgAAAAAGAAYA&#10;WwEAALgDAAAAAA==&#10;">
                  <v:fill on="f" focussize="0,0"/>
                  <v:stroke color="#000000" joinstyle="miter"/>
                  <v:imagedata o:title=""/>
                  <o:lock v:ext="edit" aspectratio="f"/>
                  <v:textbox inset="1mm,1mm,1mm,1mm">
                    <w:txbxContent>
                      <w:p>
                        <w:pPr>
                          <w:rPr>
                            <w:rFonts w:hint="eastAsia" w:eastAsia="黑体"/>
                            <w:color w:val="000000"/>
                            <w:szCs w:val="21"/>
                          </w:rPr>
                        </w:pPr>
                        <w:r>
                          <w:rPr>
                            <w:rFonts w:hint="eastAsia" w:eastAsia="黑体"/>
                            <w:color w:val="000000"/>
                            <w:szCs w:val="21"/>
                          </w:rPr>
                          <w:t>院教学质量监控领导小组</w:t>
                        </w:r>
                      </w:p>
                    </w:txbxContent>
                  </v:textbox>
                </v:shape>
                <v:shape id="Text Box 30" o:spid="_x0000_s1026" o:spt="202" type="#_x0000_t202" style="position:absolute;left:6502;top:3368;height:3737;width:469;" filled="f" stroked="t" coordsize="21600,21600" o:gfxdata="UEsDBAoAAAAAAIdO4kAAAAAAAAAAAAAAAAAEAAAAZHJzL1BLAwQUAAAACACHTuJAFtN6wr8AAADb&#10;AAAADwAAAGRycy9kb3ducmV2LnhtbEWPwWrDMBBE74X+g9hCL6WRY4pTXCs5NBRKSg5x8gFba2sZ&#10;WyvHUmPn76NAIMdhZt4wxWqynTjR4BvHCuazBARx5XTDtYLD/uv1HYQPyBo7x6TgTB5Wy8eHAnPt&#10;Rt7RqQy1iBD2OSowIfS5lL4yZNHPXE8cvT83WAxRDrXUA44RbjuZJkkmLTYcFwz29Gmoast/q2Bb&#10;mePLpv2ddj9vab04j/veZGulnp/myQeIQFO4h2/tb60gzeD6Jf4Aub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bTesK/&#10;AAAA2wAAAA8AAAAAAAAAAQAgAAAAIgAAAGRycy9kb3ducmV2LnhtbFBLAQIUABQAAAAIAIdO4kAz&#10;LwWeOwAAADkAAAAQAAAAAAAAAAEAIAAAAA4BAABkcnMvc2hhcGV4bWwueG1sUEsFBgAAAAAGAAYA&#10;WwEAALgDAAAAAA==&#10;">
                  <v:fill on="f" focussize="0,0"/>
                  <v:stroke color="#000000" joinstyle="miter"/>
                  <v:imagedata o:title=""/>
                  <o:lock v:ext="edit" aspectratio="f"/>
                  <v:textbox inset="1mm,1mm,1mm,1mm">
                    <w:txbxContent>
                      <w:p>
                        <w:pPr>
                          <w:jc w:val="center"/>
                          <w:rPr>
                            <w:rFonts w:hint="eastAsia" w:eastAsia="黑体"/>
                            <w:color w:val="000000"/>
                            <w:szCs w:val="21"/>
                          </w:rPr>
                        </w:pPr>
                        <w:r>
                          <w:rPr>
                            <w:rFonts w:hint="eastAsia" w:eastAsia="黑体"/>
                            <w:color w:val="000000"/>
                            <w:szCs w:val="21"/>
                          </w:rPr>
                          <w:t>组</w:t>
                        </w:r>
                      </w:p>
                      <w:p>
                        <w:pPr>
                          <w:jc w:val="center"/>
                          <w:rPr>
                            <w:rFonts w:hint="eastAsia" w:eastAsia="黑体"/>
                            <w:color w:val="000000"/>
                            <w:szCs w:val="21"/>
                          </w:rPr>
                        </w:pPr>
                        <w:r>
                          <w:rPr>
                            <w:rFonts w:hint="eastAsia" w:eastAsia="黑体"/>
                            <w:color w:val="000000"/>
                            <w:szCs w:val="21"/>
                          </w:rPr>
                          <w:t>织</w:t>
                        </w:r>
                      </w:p>
                      <w:p>
                        <w:pPr>
                          <w:jc w:val="center"/>
                          <w:rPr>
                            <w:rFonts w:hint="eastAsia" w:eastAsia="黑体"/>
                            <w:color w:val="000000"/>
                            <w:szCs w:val="21"/>
                          </w:rPr>
                        </w:pPr>
                        <w:r>
                          <w:rPr>
                            <w:rFonts w:hint="eastAsia" w:eastAsia="黑体"/>
                            <w:color w:val="000000"/>
                            <w:szCs w:val="21"/>
                          </w:rPr>
                          <w:t>、协调、监督、控制</w:t>
                        </w:r>
                      </w:p>
                    </w:txbxContent>
                  </v:textbox>
                </v:shape>
                <v:shape id="Text Box 31" o:spid="_x0000_s1026" o:spt="202" type="#_x0000_t202" style="position:absolute;left:6116;top:2606;height:396;width:1181;" filled="f" stroked="t" coordsize="21600,21600" o:gfxdata="UEsDBAoAAAAAAIdO4kAAAAAAAAAAAAAAAAAEAAAAZHJzL1BLAwQUAAAACACHTuJAeZ/fWb4AAADb&#10;AAAADwAAAGRycy9kb3ducmV2LnhtbEWP3YrCMBSE7xd8h3AWvFk0tYhK1+iFIojihT8PcLY52xSb&#10;k9pEW9/eCAt7OczMN8x82dlKPKjxpWMFo2ECgjh3uuRCweW8GcxA+ICssXJMCp7kYbnofcwx067l&#10;Iz1OoRARwj5DBSaEOpPS54Ys+qGriaP36xqLIcqmkLrBNsJtJdMkmUiLJccFgzWtDOXX090qOOTm&#10;9rW7/nTH/Tgtps/2XJvJWqn+5yj5BhGoC//hv/ZWK0in8P4Sf4Bcv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fWb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1mm,1mm,1mm,1mm">
                    <w:txbxContent>
                      <w:p>
                        <w:pPr>
                          <w:rPr>
                            <w:rFonts w:hint="eastAsia" w:eastAsia="黑体"/>
                            <w:color w:val="000000"/>
                            <w:szCs w:val="21"/>
                          </w:rPr>
                        </w:pPr>
                        <w:r>
                          <w:rPr>
                            <w:rFonts w:hint="eastAsia" w:eastAsia="黑体"/>
                            <w:color w:val="000000"/>
                            <w:szCs w:val="21"/>
                          </w:rPr>
                          <w:t>主要职能</w:t>
                        </w:r>
                      </w:p>
                    </w:txbxContent>
                  </v:textbox>
                </v:shape>
                <v:shape id="Text Box 32" o:spid="_x0000_s1026" o:spt="202" type="#_x0000_t202" style="position:absolute;left:7370;top:2644;height:4442;width:527;" filled="f" stroked="t" coordsize="21600,21600" o:gfxdata="UEsDBAoAAAAAAIdO4kAAAAAAAAAAAAAAAAAEAAAAZHJzL1BLAwQUAAAACACHTuJA6zJR0LoAAADb&#10;AAAADwAAAGRycy9kb3ducmV2LnhtbEVPz2vCMBS+C/4P4QneNK04kc7oYTBRdnBtPXh8NG9NWfNS&#10;mqzt/ntzGOz48f0+nCbbioF63zhWkK4TEMSV0w3XCu7l+2oPwgdkja1jUvBLHk7H+eyAmXYj5zQU&#10;oRYxhH2GCkwIXSalrwxZ9GvXEUfuy/UWQ4R9LXWPYwy3rdwkyU5abDg2GOzozVD1XfxYBbv8cT5f&#10;P1/QbPPmozW5LG/poNRykSavIAJN4V/8575oBZs4Nn6JP0Ae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MlHQ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1.5mm,1.5mm,1.5mm,1.5mm" style="layout-flow:vertical-ideographic;">
                    <w:txbxContent>
                      <w:p>
                        <w:pPr>
                          <w:spacing w:line="320" w:lineRule="exact"/>
                          <w:rPr>
                            <w:rFonts w:hint="eastAsia" w:eastAsia="黑体"/>
                            <w:color w:val="000000"/>
                            <w:szCs w:val="21"/>
                          </w:rPr>
                        </w:pPr>
                        <w:r>
                          <w:rPr>
                            <w:rFonts w:hint="eastAsia" w:eastAsia="黑体"/>
                            <w:color w:val="000000"/>
                            <w:szCs w:val="21"/>
                          </w:rPr>
                          <w:t>教师、学生、管理人员教学质量信息系统</w:t>
                        </w:r>
                      </w:p>
                      <w:p>
                        <w:pPr>
                          <w:jc w:val="center"/>
                          <w:rPr>
                            <w:rFonts w:hint="eastAsia" w:eastAsia="黑体"/>
                            <w:color w:val="000000"/>
                            <w:szCs w:val="21"/>
                          </w:rPr>
                        </w:pPr>
                      </w:p>
                    </w:txbxContent>
                  </v:textbox>
                </v:shape>
                <v:shape id="Text Box 33" o:spid="_x0000_s1026" o:spt="202" type="#_x0000_t202" style="position:absolute;left:8168;top:2663;height:4336;width:508;" filled="f" stroked="t" coordsize="21600,21600" o:gfxdata="UEsDBAoAAAAAAIdO4kAAAAAAAAAAAAAAAAAEAAAAZHJzL1BLAwQUAAAACACHTuJAhH70S74AAADb&#10;AAAADwAAAGRycy9kb3ducmV2LnhtbEWPQWvCQBSE7wX/w/IEb3WToGKjq4dCQ0sPbbQHj4/sMxvM&#10;vg3ZbZL++65Q6HGYmW+Y/XGyrRio941jBekyAUFcOd1wreDr/PK4BeEDssbWMSn4IQ/Hw+xhj7l2&#10;I5c0nEItIoR9jgpMCF0upa8MWfRL1xFH7+p6iyHKvpa6xzHCbSuzJNlIiw3HBYMdPRuqbqdvq2BT&#10;Xori7XONZlU2760p5fkjHZRazNNkByLQFP7Df+1XrSB7gvuX+APk4R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H70S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1.5mm,1.5mm,1.5mm,1.5mm" style="layout-flow:vertical-ideographic;">
                    <w:txbxContent>
                      <w:p>
                        <w:pPr>
                          <w:spacing w:line="320" w:lineRule="exact"/>
                          <w:rPr>
                            <w:rFonts w:hint="eastAsia" w:eastAsia="黑体"/>
                            <w:color w:val="000000"/>
                            <w:szCs w:val="21"/>
                          </w:rPr>
                        </w:pPr>
                        <w:r>
                          <w:rPr>
                            <w:rFonts w:hint="eastAsia" w:eastAsia="黑体"/>
                            <w:color w:val="000000"/>
                            <w:szCs w:val="21"/>
                          </w:rPr>
                          <w:t>院外用人单位教学质量信息系统</w:t>
                        </w:r>
                      </w:p>
                    </w:txbxContent>
                  </v:textbox>
                </v:shape>
                <v:shape id="Text Box 34" o:spid="_x0000_s1026" o:spt="202" type="#_x0000_t202" style="position:absolute;left:9057;top:2681;height:4332;width:462;" filled="f" stroked="t" coordsize="21600,21600" o:gfxdata="UEsDBAoAAAAAAIdO4kAAAAAAAAAAAAAAAAAEAAAAZHJzL1BLAwQUAAAACACHTuJAkJ3LC7oAAADb&#10;AAAADwAAAGRycy9kb3ducmV2LnhtbEVPy4rCMBTdC/5DuAPuNK0vpGN0ISjKLMZWFy4vzZ2mTHNT&#10;mlj17ycLYZaH815vn7YRPXW+dqwgnSQgiEuna64UXC/78QqED8gaG8ek4EUetpvhYI2Zdg/OqS9C&#10;JWII+wwVmBDaTEpfGrLoJ64ljtyP6yyGCLtK6g4fMdw2cpokS2mx5thgsKWdofK3uFsFy/x2OJzO&#10;CzTzvP5qTC4v32mv1OgjTT5BBHqGf/HbfdQKZnF9/BJ/gN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ncsL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1.5mm,1.5mm,1.5mm,1.5mm" style="layout-flow:vertical-ideographic;">
                    <w:txbxContent>
                      <w:p>
                        <w:pPr>
                          <w:spacing w:line="320" w:lineRule="exact"/>
                          <w:rPr>
                            <w:rFonts w:hint="eastAsia" w:eastAsia="黑体"/>
                            <w:color w:val="000000"/>
                            <w:szCs w:val="21"/>
                          </w:rPr>
                        </w:pPr>
                        <w:r>
                          <w:rPr>
                            <w:rFonts w:hint="eastAsia" w:eastAsia="黑体"/>
                            <w:color w:val="000000"/>
                            <w:szCs w:val="21"/>
                          </w:rPr>
                          <w:t>教学质量信息的处理系统</w:t>
                        </w:r>
                      </w:p>
                    </w:txbxContent>
                  </v:textbox>
                </v:shape>
                <v:shape id="Text Box 35" o:spid="_x0000_s1026" o:spt="202" type="#_x0000_t202" style="position:absolute;left:9727;top:2540;height:5247;width:458;" filled="f" stroked="t" coordsize="21600,21600" o:gfxdata="UEsDBAoAAAAAAIdO4kAAAAAAAAAAAAAAAAAEAAAAZHJzL1BLAwQUAAAACACHTuJA/9FukL4AAADb&#10;AAAADwAAAGRycy9kb3ducmV2LnhtbEWPQWvCQBSE7wX/w/IEb3WTtkpJXXMQDJUeNNpDj4/sazY0&#10;+zZkt0n8965Q6HGYmW+YTT7ZVgzU+8axgnSZgCCunG64VvB52T++gvABWWPrmBRcyUO+nT1sMNNu&#10;5JKGc6hFhLDPUIEJocuk9JUhi37pOuLofbveYoiyr6XucYxw28qnJFlLiw3HBYMd7QxVP+dfq2Bd&#10;fhXF4bRC81I2H60p5eWYDkot5mnyBiLQFP7Df+13reA5hfuX+APk9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Fuk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1.5mm,1.5mm,1.5mm,1.5mm" style="layout-flow:vertical-ideographic;">
                    <w:txbxContent>
                      <w:p>
                        <w:pPr>
                          <w:spacing w:line="320" w:lineRule="exact"/>
                          <w:jc w:val="distribute"/>
                          <w:rPr>
                            <w:rFonts w:hint="eastAsia" w:eastAsia="黑体"/>
                            <w:color w:val="000000"/>
                            <w:szCs w:val="21"/>
                          </w:rPr>
                        </w:pPr>
                        <w:r>
                          <w:rPr>
                            <w:rFonts w:hint="eastAsia" w:eastAsia="黑体"/>
                            <w:color w:val="000000"/>
                            <w:szCs w:val="21"/>
                          </w:rPr>
                          <w:t>课堂（实验）教学质量评价</w:t>
                        </w:r>
                      </w:p>
                    </w:txbxContent>
                  </v:textbox>
                </v:shape>
                <v:shape id="Text Box 36" o:spid="_x0000_s1026" o:spt="202" type="#_x0000_t202" style="position:absolute;left:10437;top:2531;height:5255;width:458;" filled="f" stroked="t" coordsize="21600,21600" o:gfxdata="UEsDBAoAAAAAAIdO4kAAAAAAAAAAAAAAAAAEAAAAZHJzL1BLAwQUAAAACACHTuJADwPw574AAADb&#10;AAAADwAAAGRycy9kb3ducmV2LnhtbEWPQWvCQBSE7wX/w/KE3uomqQ0SXXMQKi0e2kQPHh/ZZzaY&#10;fRuy22j/fbdQ6HGYmW+YTXm3vZho9J1jBekiAUHcON1xq+B0fH1agfABWWPvmBR8k4dyO3vYYKHd&#10;jSua6tCKCGFfoAITwlBI6RtDFv3CDcTRu7jRYohybKUe8RbhtpdZkuTSYsdxweBAO0PNtf6yCvLq&#10;vN+/f76gWVbdoTeVPH6kk1KP8zRZgwh0D//hv/abVvCcwe+X+AP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wPw5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1.5mm,1.5mm,1.5mm,1.5mm" style="layout-flow:vertical-ideographic;">
                    <w:txbxContent>
                      <w:p>
                        <w:pPr>
                          <w:spacing w:line="320" w:lineRule="exact"/>
                          <w:jc w:val="distribute"/>
                          <w:rPr>
                            <w:rFonts w:hint="eastAsia" w:eastAsia="黑体"/>
                            <w:color w:val="000000"/>
                            <w:szCs w:val="21"/>
                          </w:rPr>
                        </w:pPr>
                        <w:r>
                          <w:rPr>
                            <w:rFonts w:hint="eastAsia" w:eastAsia="黑体"/>
                            <w:color w:val="000000"/>
                            <w:szCs w:val="21"/>
                          </w:rPr>
                          <w:t>教学检查、实习检查、随机检查等检查评价制度</w:t>
                        </w:r>
                      </w:p>
                    </w:txbxContent>
                  </v:textbox>
                </v:shape>
                <v:shape id="Text Box 37" o:spid="_x0000_s1026" o:spt="202" type="#_x0000_t202" style="position:absolute;left:11125;top:2540;height:5247;width:456;" filled="f" stroked="t" coordsize="21600,21600" o:gfxdata="UEsDBAoAAAAAAIdO4kAAAAAAAAAAAAAAAAAEAAAAZHJzL1BLAwQUAAAACACHTuJAYE9VfL4AAADb&#10;AAAADwAAAGRycy9kb3ducmV2LnhtbEWPQWvCQBSE70L/w/IK3nSTWkOJrjkUGpQeaqKHHh/ZZzY0&#10;+zZk12j/fbdQ6HGYmW+YbXG3vZho9J1jBekyAUHcON1xq+B8elu8gPABWWPvmBR8k4di9zDbYq7d&#10;jSua6tCKCGGfowITwpBL6RtDFv3SDcTRu7jRYohybKUe8RbhtpdPSZJJix3HBYMDvRpqvuqrVZBV&#10;n2V5OK7RPFfde28qefpIJ6Xmj2myARHoHv7Df+29VrBawe+X+APk7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E9Vf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1.5mm,1.5mm,1.5mm,1.5mm" style="layout-flow:vertical-ideographic;">
                    <w:txbxContent>
                      <w:p>
                        <w:pPr>
                          <w:spacing w:line="320" w:lineRule="exact"/>
                          <w:jc w:val="distribute"/>
                          <w:rPr>
                            <w:rFonts w:hint="eastAsia" w:eastAsia="黑体"/>
                            <w:color w:val="000000"/>
                            <w:szCs w:val="21"/>
                          </w:rPr>
                        </w:pPr>
                        <w:r>
                          <w:rPr>
                            <w:rFonts w:hint="eastAsia" w:eastAsia="黑体"/>
                            <w:color w:val="000000"/>
                            <w:szCs w:val="21"/>
                          </w:rPr>
                          <w:t>教学相长会、教学工作会及其它信息反馈评价制度</w:t>
                        </w:r>
                      </w:p>
                    </w:txbxContent>
                  </v:textbox>
                </v:shape>
                <v:shape id="Text Box 38" o:spid="_x0000_s1026" o:spt="202" type="#_x0000_t202" style="position:absolute;left:12656;top:2657;height:3528;width:491;" filled="f" stroked="t" coordsize="21600,21600" o:gfxdata="UEsDBAoAAAAAAIdO4kAAAAAAAAAAAAAAAAAEAAAAZHJzL1BLAwQUAAAACACHTuJA76bNCL4AAADb&#10;AAAADwAAAGRycy9kb3ducmV2LnhtbEWPQWvCQBSE7wX/w/KE3uomrQ0SXXMQGlo8tIkePD6yz2ww&#10;+zZkt9H+e7dQ6HGYmW+YTXGzvZho9J1jBekiAUHcON1xq+B4eHtagfABWWPvmBT8kIdiO3vYYK7d&#10;lSua6tCKCGGfowITwpBL6RtDFv3CDcTRO7vRYohybKUe8RrhtpfPSZJJix3HBYMD7Qw1l/rbKsiq&#10;U1l+fL2iWVbdvjeVPHymk1KP8zRZgwh0C//hv/a7VvCyhN8v8QfI7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6bNC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1.5mm,1.5mm,1.5mm,1.5mm" style="layout-flow:vertical-ideographic;">
                    <w:txbxContent>
                      <w:p>
                        <w:pPr>
                          <w:spacing w:line="320" w:lineRule="exact"/>
                          <w:jc w:val="distribute"/>
                          <w:rPr>
                            <w:rFonts w:eastAsia="黑体"/>
                            <w:color w:val="000000"/>
                            <w:szCs w:val="21"/>
                          </w:rPr>
                        </w:pPr>
                        <w:r>
                          <w:rPr>
                            <w:rFonts w:hint="eastAsia" w:eastAsia="黑体"/>
                            <w:color w:val="000000"/>
                            <w:szCs w:val="21"/>
                          </w:rPr>
                          <w:t>师资队伍建设系统</w:t>
                        </w:r>
                      </w:p>
                    </w:txbxContent>
                  </v:textbox>
                </v:shape>
                <v:shape id="Text Box 39" o:spid="_x0000_s1026" o:spt="202" type="#_x0000_t202" style="position:absolute;left:14240;top:2624;height:3556;width:458;" filled="f" stroked="t" coordsize="21600,21600" o:gfxdata="UEsDBAoAAAAAAIdO4kAAAAAAAAAAAAAAAAAEAAAAZHJzL1BLAwQUAAAACACHTuJAgOpok74AAADb&#10;AAAADwAAAGRycy9kb3ducmV2LnhtbEWPQWvCQBSE7wX/w/IEb3WTWkWiaw5CQ0sPbdSDx0f2mQ1m&#10;34bsNkn/fbdQ6HGYmW+YfT7ZVgzU+8axgnSZgCCunG64VnA5vzxuQfiArLF1TAq+yUN+mD3sMdNu&#10;5JKGU6hFhLDPUIEJocuk9JUhi37pOuLo3VxvMUTZ11L3OEa4beVTkmykxYbjgsGOjoaq++nLKtiU&#10;16J4+1yjeS6b99aU8vyRDkot5mmyAxFoCv/hv/arVrBaw++X+APk4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Opok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1.5mm,1.5mm,1.5mm,1.5mm" style="layout-flow:vertical-ideographic;">
                    <w:txbxContent>
                      <w:p>
                        <w:pPr>
                          <w:spacing w:line="320" w:lineRule="exact"/>
                          <w:jc w:val="distribute"/>
                          <w:rPr>
                            <w:rFonts w:hint="eastAsia" w:eastAsia="黑体"/>
                            <w:color w:val="000000"/>
                            <w:szCs w:val="21"/>
                          </w:rPr>
                        </w:pPr>
                        <w:r>
                          <w:rPr>
                            <w:rFonts w:hint="eastAsia" w:eastAsia="黑体"/>
                            <w:color w:val="000000"/>
                            <w:szCs w:val="21"/>
                          </w:rPr>
                          <w:t>教学设施建设与保障系统</w:t>
                        </w:r>
                      </w:p>
                    </w:txbxContent>
                  </v:textbox>
                </v:shape>
                <v:line id="Line 40" o:spid="_x0000_s1026" o:spt="20" style="position:absolute;left:5154;top:2225;flip:y;height:1;width:1664;"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41" o:spid="_x0000_s1026" o:spt="20" style="position:absolute;left:7870;top:605;flip:x;height:321;width:2;"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42" o:spid="_x0000_s1026" o:spt="20" style="position:absolute;left:1766;top:1967;flip:x;height:576;width:2;"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43" o:spid="_x0000_s1026" o:spt="20" style="position:absolute;left:3632;top:1950;flip:x;height:572;width:4;"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44" o:spid="_x0000_s1026" o:spt="20" style="position:absolute;left:6060;top:1950;flip:x;height:290;width:1;"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45" o:spid="_x0000_s1026" o:spt="20" style="position:absolute;left:5173;top:3035;height:200;width:2;" filled="f" stroked="t" coordsize="21600,21600" o:gfxdata="UEsDBAoAAAAAAIdO4kAAAAAAAAAAAAAAAAAEAAAAZHJzL1BLAwQUAAAACACHTuJAW8NaLr0AAADb&#10;AAAADwAAAGRycy9kb3ducmV2LnhtbEWPzYvCMBTE74L/Q3gLe5E1qS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w1ou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46" o:spid="_x0000_s1026" o:spt="20" style="position:absolute;left:5184;top:5405;height:302;width:2;" filled="f" stroked="t" coordsize="21600,21600" o:gfxdata="UEsDBAoAAAAAAIdO4kAAAAAAAAAAAAAAAAAEAAAAZHJzL1BLAwQUAAAACACHTuJAqxHEWb0AAADb&#10;AAAADwAAAGRycy9kb3ducmV2LnhtbEWPzYvCMBTE7wv+D+EJexFN7C4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EcR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47" o:spid="_x0000_s1026" o:spt="20" style="position:absolute;left:5194;top:4718;height:268;width:2;" filled="f" stroked="t" coordsize="21600,21600" o:gfxdata="UEsDBAoAAAAAAIdO4kAAAAAAAAAAAAAAAAAEAAAAZHJzL1BLAwQUAAAACACHTuJAxF1hwr4AAADb&#10;AAAADwAAAGRycy9kb3ducmV2LnhtbEWPQWvCQBSE74L/YXlCL2J2TaS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F1hw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48" o:spid="_x0000_s1026" o:spt="20" style="position:absolute;left:5208;top:7167;height:190;width:1;" filled="f" stroked="t" coordsize="21600,21600" o:gfxdata="UEsDBAoAAAAAAIdO4kAAAAAAAAAAAAAAAAAEAAAAZHJzL1BLAwQUAAAACACHTuJAS7T5tr4AAADb&#10;AAAADwAAAGRycy9kb3ducmV2LnhtbEWPQWvCQBSE74L/YXlCL2J2jaGU6OpBG+jBi7al10f2NQnN&#10;vo3ZbUz7691CweMwM98wm91oWzFQ7xvHGpaJAkFcOtNwpeHttVg8gfAB2WDrmDT8kIfddjrZYG7c&#10;lU80nEMlIoR9jhrqELpcSl/WZNEnriOO3qfrLYYo+0qaHq8RbluZKvUoLTYcF2rsaF9T+XX+thp8&#10;8U6X4ndeztXHqnKUXg7HZ9T6YbZUaxCBxnAP/7dfjIYs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7T5t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49" o:spid="_x0000_s1026" o:spt="20" style="position:absolute;left:6808;top:2219;flip:x;height:360;width:1;" filled="f" stroked="t" coordsize="21600,21600" o:gfxdata="UEsDBAoAAAAAAIdO4kAAAAAAAAAAAAAAAAAEAAAAZHJzL1BLAwQUAAAACACHTuJAFfZiB70AAADb&#10;AAAADwAAAGRycy9kb3ducmV2LnhtbEWPQWsCMRSE7wX/Q3iCN03UVnQ1ipS2FARBXT0/N8/dxc3L&#10;sklX++9NQehxmJlvmMXqbivRUuNLxxqGAwWCOHOm5FxDevjsT0H4gGywckwafsnDatl5WWBi3I13&#10;1O5DLiKEfYIaihDqREqfFWTRD1xNHL2LayyGKJtcmgZvEW4rOVJqIi2WHBcKrOm9oOy6/7Ea1qfN&#10;x3jbnq2rzCxPj8am6mukda87VHMQge7hP/xsfxsNr2/w9y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9mI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0" o:spid="_x0000_s1026" o:spt="20" style="position:absolute;left:6784;top:3023;height:302;width:1;" filled="f" stroked="t" coordsize="21600,21600" o:gfxdata="UEsDBAoAAAAAAIdO4kAAAAAAAAAAAAAAAAAEAAAAZHJzL1BLAwQUAAAACACHTuJA1CrCWrwAAADb&#10;AAAADwAAAGRycy9kb3ducmV2LnhtbEWPS4sCMRCE7wv+h9CCF9HEByKj0YO7Ax724guvzaSdGZx0&#10;xkl87a83grDHoqq+oubLh63EjRpfOtYw6CsQxJkzJeca9ru0NwXhA7LByjFpeJKH5aL1NcfEuDtv&#10;6LYNuYgQ9glqKEKoEyl9VpBF33c1cfROrrEYomxyaRq8R7it5FCpibRYclwosKZVQdl5e7UafHqg&#10;S/rXzbrqOModDS/fvz+odac9UDMQgR7hP/xpr42G8QT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qwl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51" o:spid="_x0000_s1026" o:spt="20" style="position:absolute;left:5160;top:2246;height:353;width:2;" filled="f" stroked="t" coordsize="21600,21600" o:gfxdata="UEsDBAoAAAAAAIdO4kAAAAAAAAAAAAAAAAAEAAAAZHJzL1BLAwQUAAAACACHTuJAu2Znwb8AAADb&#10;AAAADwAAAGRycy9kb3ducmV2LnhtbEWPS2vDMBCE74X8B7GBXkIi2S1pcaP40MbQQy95lFwXa2ub&#10;WivbUh7Nr48KgRyHmfmGWeRn24ojDb5xrCGZKRDEpTMNVxp222L6CsIHZIOtY9LwRx7y5ehhgZlx&#10;J17TcRMqESHsM9RQh9BlUvqyJot+5jri6P24wWKIcqikGfAU4baVqVJzabHhuFBjR+81lb+bg9Xg&#10;i2/qi8uknKj9U+Uo7T++Vqj14zhRbyACncM9fGt/Gg3PL/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tmZ8G/&#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52" o:spid="_x0000_s1026" o:spt="20" style="position:absolute;left:7616;top:2250;flip:y;height:1;width:1645;" filled="f" stroked="t" coordsize="21600,21600" o:gfxdata="UEsDBAoAAAAAAIdO4kAAAAAAAAAAAAAAAAAEAAAAZHJzL1BLAwQUAAAACACHTuJA+/fNmbkAAADb&#10;AAAADwAAAGRycy9kb3ducmV2LnhtbEVPy4rCMBTdD/gP4QruxsQHg1ajyDCKIAyo1fW1ubbF5qY0&#10;serfm8XALA/nPV8+bSVaanzpWMOgr0AQZ86UnGtIj+vPCQgfkA1WjknDizwsF52POSbGPXhP7SHk&#10;IoawT1BDEUKdSOmzgiz6vquJI3d1jcUQYZNL0+AjhttKDpX6khZLjg0F1vRdUHY73K2G1Xn3M/pt&#10;L9ZVZpqnJ2NTtRlq3esO1AxEoGf4F/+5t0bDOI6N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v3zZ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53" o:spid="_x0000_s1026" o:spt="20" style="position:absolute;left:8449;top:1913;height:764;width:4;" filled="f" stroked="t" coordsize="21600,21600" o:gfxdata="UEsDBAoAAAAAAIdO4kAAAAAAAAAAAAAAAAAEAAAAZHJzL1BLAwQUAAAACACHTuJApbVWKL8AAADb&#10;AAAADwAAAGRycy9kb3ducmV2LnhtbEWPS2vDMBCE74X8B7GBXkIi2S2hdaP40MbQQy95lFwXa2ub&#10;WivbUh7Nr48KgRyHmfmGWeRn24ojDb5xrCGZKRDEpTMNVxp222L6AsIHZIOtY9LwRx7y5ehhgZlx&#10;J17TcRMqESHsM9RQh9BlUvqyJot+5jri6P24wWKIcqikGfAU4baVqVJzabHhuFBjR+81lb+bg9Xg&#10;i2/qi8uknKj9U+Uo7T++Vqj14zhRbyACncM9fGt/Gg3Pr/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W1Vii/&#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54" o:spid="_x0000_s1026" o:spt="20" style="position:absolute;left:9240;top:2242;flip:x;height:429;width:13;" filled="f" stroked="t" coordsize="21600,21600" o:gfxdata="UEsDBAoAAAAAAIdO4kAAAAAAAAAAAAAAAAAEAAAAZHJzL1BLAwQUAAAACACHTuJAgFhXQrkAAADb&#10;AAAADwAAAGRycy9kb3ducmV2LnhtbEVPTYvCMBC9L/gfwgje1kTFRatRZFlFEBbU6nlsxrbYTEoT&#10;q/57c1jY4+N9z5dPW4mWGl861jDoKxDEmTMl5xrS4/pzAsIHZIOVY9LwIg/LRedjjolxD95Tewi5&#10;iCHsE9RQhFAnUvqsIIu+72riyF1dYzFE2OTSNPiI4baSQ6W+pMWSY0OBNX0XlN0Od6thdd79jH7b&#10;i3WVmebpydhUbYZa97oDNQMR6Bn+xX/urdEwjuvjl/gD5OI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BYV0K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55" o:spid="_x0000_s1026" o:spt="20" style="position:absolute;left:7624;top:2271;height:353;width:2;" filled="f" stroked="t" coordsize="21600,21600" o:gfxdata="UEsDBAoAAAAAAIdO4kAAAAAAAAAAAAAAAAAEAAAAZHJzL1BLAwQUAAAACACHTuJA3hrM870AAADb&#10;AAAADwAAAGRycy9kb3ducmV2LnhtbEWPzYvCMBTE74L/Q3gLe5E1qY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sz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Text Box 56" o:spid="_x0000_s1026" o:spt="202" type="#_x0000_t202" style="position:absolute;left:11826;top:2519;height:5267;width:458;" filled="f" stroked="t" coordsize="21600,21600" o:gfxdata="UEsDBAoAAAAAAIdO4kAAAAAAAAAAAAAAAAAEAAAAZHJzL1BLAwQUAAAACACHTuJA0twVR74AAADb&#10;AAAADwAAAGRycy9kb3ducmV2LnhtbEWPQWvCQBSE74X+h+UVems2kUYkdfUgKC0e2hgPHh/Z12ww&#10;+zZk1xj/fVcQehxm5htmuZ5sJ0YafOtYQZakIIhrp1tuFByr7dsChA/IGjvHpOBGHtar56clFtpd&#10;uaTxEBoRIewLVGBC6AspfW3Iok9cTxy9XzdYDFEOjdQDXiPcdnKWpnNpseW4YLCnjaH6fLhYBfPy&#10;tNt9/eRo3st235lSVt/ZqNTrS5Z+gAg0hf/wo/2pFeQzuH+JP0C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twVR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1.5mm,1.5mm,1.5mm,1.5mm" style="layout-flow:vertical-ideographic;">
                    <w:txbxContent>
                      <w:p>
                        <w:pPr>
                          <w:spacing w:line="320" w:lineRule="exact"/>
                          <w:jc w:val="center"/>
                          <w:rPr>
                            <w:rFonts w:hint="eastAsia" w:eastAsia="黑体"/>
                            <w:color w:val="000000"/>
                            <w:szCs w:val="21"/>
                          </w:rPr>
                        </w:pPr>
                        <w:r>
                          <w:rPr>
                            <w:rFonts w:hint="eastAsia" w:eastAsia="黑体"/>
                            <w:color w:val="000000"/>
                            <w:szCs w:val="21"/>
                          </w:rPr>
                          <w:t>专业、学科、课程、实验室、实习基地等专项评估</w:t>
                        </w:r>
                      </w:p>
                    </w:txbxContent>
                  </v:textbox>
                </v:shape>
                <v:line id="Line 57" o:spid="_x0000_s1026" o:spt="20" style="position:absolute;left:9938;top:2204;flip:y;height:3;width:2124;" filled="f" stroked="t" coordsize="21600,21600" o:gfxdata="UEsDBAoAAAAAAIdO4kAAAAAAAAAAAAAAAAAEAAAAZHJzL1BLAwQUAAAACACHTuJAcIrJNb0AAADb&#10;AAAADwAAAGRycy9kb3ducmV2LnhtbEWPQWvCQBSE74L/YXmF3uquSkVTN0HElkJBMEbPz+xrEpp9&#10;G7LbaP99t1DwOMzMN8w6u9lWDNT7xrGG6USBIC6dabjSUBxfn5YgfEA22DomDT/kIUvHozUmxl35&#10;QEMeKhEh7BPUUIfQJVL6siaLfuI64uh9ut5iiLKvpOnxGuG2lTOlFtJiw3Ghxo62NZVf+bfVsDl/&#10;7Ob74WJda1ZVcTK2UG8zrR8fpuoFRKBbuIf/2+9Gw/M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isk1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8" o:spid="_x0000_s1026" o:spt="20" style="position:absolute;left:10912;top:1886;flip:x;height:282;width:2;" filled="f" stroked="t" coordsize="21600,21600" o:gfxdata="UEsDBAoAAAAAAIdO4kAAAAAAAAAAAAAAAAAEAAAAZHJzL1BLAwQUAAAACACHTuJA/2NRQb0AAADb&#10;AAAADwAAAGRycy9kb3ducmV2LnhtbEWPQWsCMRSE7wX/Q3iCN03UVnQ1ipS2FARBXT0/N8/dxc3L&#10;sklX++9NQehxmJlvmMXqbivRUuNLxxqGAwWCOHOm5FxDevjsT0H4gGywckwafsnDatl5WWBi3I13&#10;1O5DLiKEfYIaihDqREqfFWTRD1xNHL2LayyGKJtcmgZvEW4rOVJqIi2WHBcKrOm9oOy6/7Ea1qfN&#10;x3jbnq2rzCxPj8am6mukda87VHMQge7hP/xsfxsNb6/w9y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1FB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9" o:spid="_x0000_s1026" o:spt="20" style="position:absolute;left:12037;top:2215;height:270;width:2;" filled="f" stroked="t" coordsize="21600,21600" o:gfxdata="UEsDBAoAAAAAAIdO4kAAAAAAAAAAAAAAAAAEAAAAZHJzL1BLAwQUAAAACACHTuJAoSHK8L4AAADb&#10;AAAADwAAAGRycy9kb3ducmV2LnhtbEWPQWvCQBSE74L/YXlCL2J2jaSU6OpBG+jBi7al10f2NQnN&#10;vo3ZbUz7691CweMwM98wm91oWzFQ7xvHGpaJAkFcOtNwpeHttVg8gfAB2WDrmDT8kIfddjrZYG7c&#10;lU80nEMlIoR9jhrqELpcSl/WZNEnriOO3qfrLYYo+0qaHq8RbluZKvUoLTYcF2rsaF9T+XX+thp8&#10;8U6X4ndeztXHqnKUXg7HZ9T6YbZUaxCBxnAP/7dfjIYs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HK8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60" o:spid="_x0000_s1026" o:spt="20" style="position:absolute;left:9946;top:2204;height:321;width:2;" filled="f" stroked="t" coordsize="21600,21600" o:gfxdata="UEsDBAoAAAAAAIdO4kAAAAAAAAAAAAAAAAAEAAAAZHJzL1BLAwQUAAAACACHTuJAUfNUh7wAAADb&#10;AAAADwAAAGRycy9kb3ducmV2LnhtbEWPS4sCMRCE7wv+h9CCF9FERZHR6MHdAQ978YXXZtLODE46&#10;4yS+9tcbQdhjUVVfUfPlw1biRo0vHWsY9BUI4syZknMN+13am4LwAdlg5Zg0PMnDctH6mmNi3J03&#10;dNuGXEQI+wQ1FCHUiZQ+K8ii77uaOHon11gMUTa5NA3eI9xWcqjURFosOS4UWNOqoOy8vVoNPj3Q&#10;Jf3rZl11HOWOhpfv3x/UutMeqBmIQI/wH/6010bDe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zVI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61" o:spid="_x0000_s1026" o:spt="20" style="position:absolute;left:10666;top:2228;height:322;width:2;" filled="f" stroked="t" coordsize="21600,21600" o:gfxdata="UEsDBAoAAAAAAIdO4kAAAAAAAAAAAAAAAAAEAAAAZHJzL1BLAwQUAAAACACHTuJAPr/xHL8AAADb&#10;AAAADwAAAGRycy9kb3ducmV2LnhtbEWPS2vDMBCE74X8B7GBXkIi2aVpcaP40MbQQy95lFwXa2ub&#10;WivbUh7Nr48KgRyHmfmGWeRn24ojDb5xrCGZKRDEpTMNVxp222L6CsIHZIOtY9LwRx7y5ehhgZlx&#10;J17TcRMqESHsM9RQh9BlUvqyJot+5jri6P24wWKIcqikGfAU4baVqVJzabHhuFBjR+81lb+bg9Xg&#10;i2/qi8uknKj9U+Uo7T++Vqj14zhRbyACncM9fGt/Gg3PL/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6/8Ry/&#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62" o:spid="_x0000_s1026" o:spt="20" style="position:absolute;left:11331;top:2223;height:318;width:4;" filled="f" stroked="t" coordsize="21600,21600" o:gfxdata="UEsDBAoAAAAAAIdO4kAAAAAAAAAAAAAAAAAEAAAAZHJzL1BLAwQUAAAACACHTuJATyBlbroAAADb&#10;AAAADwAAAGRycy9kb3ducmV2LnhtbEVPy4rCMBTdC/5DuIIb0UQHRappFzoFF7PRGXF7aa5tsbmp&#10;TcbX15vFwCwP573OHrYRN+p87VjDdKJAEBfO1Fxq+PnOx0sQPiAbbByThid5yNJ+b42JcXfe0+0Q&#10;ShFD2CeooQqhTaT0RUUW/cS1xJE7u85iiLArpenwHsNtI2dKLaTFmmNDhS1tKiouh1+rwedHuuav&#10;UTFSp4/S0ey6/fpErYeDqVqBCPQI/+I/985omMe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IGVu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63" o:spid="_x0000_s1026" o:spt="20" style="position:absolute;left:12880;top:2252;flip:y;height:1;width:1664;" filled="f" stroked="t" coordsize="21600,21600" o:gfxdata="UEsDBAoAAAAAAIdO4kAAAAAAAAAAAAAAAAAEAAAAZHJzL1BLAwQUAAAACACHTuJAEWL+37wAAADb&#10;AAAADwAAAGRycy9kb3ducmV2LnhtbEWPQWsCMRSE7wX/Q3iCt5qoWHRrFBEVQSio255fN8/dxc3L&#10;somr/nsjFHocZuYbZra420q01PjSsYZBX4EgzpwpOdeQnjbvExA+IBusHJOGB3lYzDtvM0yMu/GB&#10;2mPIRYSwT1BDEUKdSOmzgiz6vquJo3d2jcUQZZNL0+Atwm0lh0p9SIslx4UCa1oVlF2OV6th+bNf&#10;j77aX+sqM83Tb2NTtR1q3esO1CeIQPfwH/5r74yG8RReX+IPk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Fi/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64" o:spid="_x0000_s1026" o:spt="20" style="position:absolute;left:13786;top:1913;flip:x;height:352;width:14;" filled="f" stroked="t" coordsize="21600,21600" o:gfxdata="UEsDBAoAAAAAAIdO4kAAAAAAAAAAAAAAAAAEAAAAZHJzL1BLAwQUAAAACACHTuJATjSd/7gAAADb&#10;AAAADwAAAGRycy9kb3ducmV2LnhtbEVPTYvCMBC9L/gfwgh7WxMVRKtRRFxZEAS1eh6bsS02k9Jk&#10;q/57cxA8Pt73bPGwlWip8aVjDf2eAkGcOVNyriE9/v6MQfiAbLByTBqe5GEx73zNMDHuzntqDyEX&#10;MYR9ghqKEOpESp8VZNH3XE0cuatrLIYIm1yaBu8x3FZyoNRIWiw5NhRY06qg7Hb4txqW5+16uGsv&#10;1lVmkqcnY1O1GWj93e2rKYhAj/ARv91/RsMoro9f4g+Q8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jSd/7gAAADbAAAA&#10;DwAAAAAAAAABACAAAAAiAAAAZHJzL2Rvd25yZXYueG1sUEsBAhQAFAAAAAgAh07iQDMvBZ47AAAA&#10;OQAAABAAAAAAAAAAAQAgAAAABwEAAGRycy9zaGFwZXhtbC54bWxQSwUGAAAAAAYABgBbAQAAsQMA&#10;AAAA&#10;">
                  <v:fill on="f" focussize="0,0"/>
                  <v:stroke color="#000000" joinstyle="round"/>
                  <v:imagedata o:title=""/>
                  <o:lock v:ext="edit" aspectratio="f"/>
                </v:line>
                <v:line id="Line 65" o:spid="_x0000_s1026" o:spt="20" style="position:absolute;left:14534;top:2246;flip:x;height:360;width:1;" filled="f" stroked="t" coordsize="21600,21600" o:gfxdata="UEsDBAoAAAAAAIdO4kAAAAAAAAAAAAAAAAAEAAAAZHJzL1BLAwQUAAAACACHTuJAIXg4ZLwAAADb&#10;AAAADwAAAGRycy9kb3ducmV2LnhtbEWPQWvCQBSE74L/YXlCb2Y3ClKjq4hYKQiF2uj5mX0mwezb&#10;kN1G/ffdQqHHYWa+YZbrh21ET52vHWtIEwWCuHCm5lJD/vU2fgXhA7LBxjFpeJKH9Wo4WGJm3J0/&#10;qT+GUkQI+ww1VCG0mZS+qMiiT1xLHL2r6yyGKLtSmg7vEW4bOVFqJi3WHBcqbGlbUXE7flsNm/Nh&#10;N/3oL9Y1Zl7mJ2NztZ9o/TJK1QJEoEf4D/+1342GWQq/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4OG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66" o:spid="_x0000_s1026" o:spt="20" style="position:absolute;left:12886;top:2273;height:353;width:2;" filled="f" stroked="t" coordsize="21600,21600" o:gfxdata="UEsDBAoAAAAAAIdO4kAAAAAAAAAAAAAAAAAEAAAAZHJzL1BLAwQUAAAACACHTuJA4KSYObwAAADb&#10;AAAADwAAAGRycy9kb3ducmV2LnhtbEWPzYvCMBTE74L/Q3jCXkQTK4h0jR5WCx68+IXXR/O2Ldu8&#10;1CZ+rH+9EQSPw8z8hpkt7rYWV2p95VjDaKhAEOfOVFxoOOyzwRSED8gGa8ek4Z88LObdzgxT4268&#10;pesuFCJC2KeooQyhSaX0eUkW/dA1xNH7da3FEGVbSNPiLcJtLROlJtJixXGhxIZ+Ssr/dherwWdH&#10;OmePft5Xp3HhKDkvNyvU+qs3Ut8gAt3DJ/xur42GSQ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CkmD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Text Box 67" o:spid="_x0000_s1026" o:spt="202" type="#_x0000_t202" style="position:absolute;left:13489;top:2648;height:3511;width:491;" filled="f" stroked="t" coordsize="21600,21600" o:gfxdata="UEsDBAoAAAAAAIdO4kAAAAAAAAAAAAAAAAAEAAAAZHJzL1BLAwQUAAAACACHTuJAc/x6YbwAAADb&#10;AAAADwAAAGRycy9kb3ducmV2LnhtbEWPT4vCMBTE7wt+h/AEb2ta/7F0jR4ERfGg1T3s8dG8bco2&#10;L6WJVb+9EQSPw8xvhpkvb7YWHbW+cqwgHSYgiAunKy4V/JzXn18gfEDWWDsmBXfysFz0PuaYaXfl&#10;nLpTKEUsYZ+hAhNCk0npC0MW/dA1xNH7c63FEGVbSt3iNZbbWo6SZCYtVhwXDDa0MlT8ny5WwSz/&#10;3Wx2xymaSV7ta5PL8yHtlBr00+QbRKBbeIdf9FZHbgzPL/EHy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P8emG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1.5mm,1.5mm,1.5mm,1.5mm" style="layout-flow:vertical-ideographic;">
                    <w:txbxContent>
                      <w:p>
                        <w:pPr>
                          <w:spacing w:line="320" w:lineRule="exact"/>
                          <w:jc w:val="distribute"/>
                          <w:rPr>
                            <w:rFonts w:eastAsia="黑体"/>
                            <w:color w:val="000000"/>
                            <w:szCs w:val="21"/>
                          </w:rPr>
                        </w:pPr>
                        <w:r>
                          <w:rPr>
                            <w:rFonts w:hint="eastAsia" w:eastAsia="黑体"/>
                            <w:color w:val="000000"/>
                            <w:szCs w:val="21"/>
                          </w:rPr>
                          <w:t xml:space="preserve">教学经费保障系统 </w:t>
                        </w:r>
                      </w:p>
                    </w:txbxContent>
                  </v:textbox>
                </v:shape>
                <v:line id="Line 68" o:spid="_x0000_s1026" o:spt="20" style="position:absolute;left:13782;top:2267;flip:x;height:400;width:2;" filled="f" stroked="t" coordsize="21600,21600" o:gfxdata="UEsDBAoAAAAAAIdO4kAAAAAAAAAAAAAAAAAEAAAAZHJzL1BLAwQUAAAACACHTuJAMQ+b/L0AAADb&#10;AAAADwAAAGRycy9kb3ducmV2LnhtbEWP3WrCQBSE7wu+w3KE3umuP4hGV5FSS6FQMEavj9ljEsye&#10;Ddlt1LfvFoReDjPzDbPa3G0tOmp95VjDaKhAEOfOVFxoyA67wRyED8gGa8ek4UEeNuveywoT4268&#10;py4NhYgQ9glqKENoEil9XpJFP3QNcfQurrUYomwLaVq8Rbit5VipmbRYcVwosaG3kvJr+mM1bE9f&#10;75Pv7mxdbRZFdjQ2Ux9jrV/7I7UEEege/sPP9qfRMJvC35f4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D5v8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Text Box 69" o:spid="_x0000_s1026" o:spt="202" type="#_x0000_t202" style="position:absolute;left:4396;top:7405;height:395;width:1682;" filled="f" stroked="t" coordsize="21600,21600" o:gfxdata="UEsDBAoAAAAAAIdO4kAAAAAAAAAAAAAAAAAEAAAAZHJzL1BLAwQUAAAACACHTuJAcGtddb8AAADb&#10;AAAADwAAAGRycy9kb3ducmV2LnhtbEWP3WrCQBSE7wu+w3KE3pS6UWws0Y0XLUKx9MKfBzjNnmZD&#10;smdjdjXx7buC4OUwM98wq/VgG3GhzleOFUwnCQjiwumKSwXHw+b1HYQPyBobx6TgSh7W+ehphZl2&#10;Pe/osg+liBD2GSowIbSZlL4wZNFPXEscvT/XWQxRdqXUHfYRbhs5S5JUWqw4Lhhs6cNQUe/PVsFP&#10;YU4v2/p32H3PZ+Xi2h9ak34q9TyeJksQgYbwCN/bX1pB+ga3L/EHy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BrXXW/&#10;AAAA2wAAAA8AAAAAAAAAAQAgAAAAIgAAAGRycy9kb3ducmV2LnhtbFBLAQIUABQAAAAIAIdO4kAz&#10;LwWeOwAAADkAAAAQAAAAAAAAAAEAIAAAAA4BAABkcnMvc2hhcGV4bWwueG1sUEsFBgAAAAAGAAYA&#10;WwEAALgDAAAAAA==&#10;">
                  <v:fill on="f" focussize="0,0"/>
                  <v:stroke color="#000000" joinstyle="miter"/>
                  <v:imagedata o:title=""/>
                  <o:lock v:ext="edit" aspectratio="f"/>
                  <v:textbox inset="1mm,1mm,1mm,1mm">
                    <w:txbxContent>
                      <w:p>
                        <w:pPr>
                          <w:jc w:val="center"/>
                          <w:rPr>
                            <w:rFonts w:hint="eastAsia" w:eastAsia="黑体"/>
                            <w:szCs w:val="21"/>
                          </w:rPr>
                        </w:pPr>
                        <w:r>
                          <w:rPr>
                            <w:rFonts w:hint="eastAsia" w:eastAsia="黑体"/>
                            <w:szCs w:val="21"/>
                          </w:rPr>
                          <w:t>教学基本单位</w:t>
                        </w:r>
                      </w:p>
                    </w:txbxContent>
                  </v:textbox>
                </v:shape>
                <w10:wrap type="none"/>
                <w10:anchorlock/>
              </v:group>
            </w:pict>
          </mc:Fallback>
        </mc:AlternateContent>
      </w:r>
    </w:p>
    <w:p>
      <w:pPr>
        <w:jc w:val="center"/>
        <w:rPr>
          <w:rFonts w:hint="eastAsia" w:ascii="宋体" w:hAnsi="宋体" w:cs="Segoe UI"/>
          <w:b/>
          <w:kern w:val="0"/>
          <w:sz w:val="24"/>
        </w:rPr>
      </w:pPr>
      <w:r>
        <w:rPr>
          <w:rFonts w:hint="eastAsia" w:ascii="宋体" w:hAnsi="宋体"/>
          <w:b/>
          <w:sz w:val="24"/>
        </w:rPr>
        <w:t>图3 遵义医学院医学与科技学院本科教学质量监控体系</w:t>
      </w:r>
    </w:p>
    <w:p>
      <w:pPr>
        <w:ind w:firstLine="600" w:firstLineChars="250"/>
        <w:rPr>
          <w:rFonts w:ascii="宋体" w:hAnsi="宋体" w:cs="Segoe UI"/>
          <w:b/>
          <w:kern w:val="0"/>
          <w:sz w:val="24"/>
        </w:rPr>
        <w:sectPr>
          <w:pgSz w:w="16838" w:h="11906" w:orient="landscape"/>
          <w:pgMar w:top="1797" w:right="1440" w:bottom="1797" w:left="1440" w:header="851" w:footer="992" w:gutter="0"/>
          <w:pgNumType w:fmt="numberInDash"/>
          <w:cols w:space="720" w:num="1"/>
          <w:docGrid w:type="linesAndChar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（二）临床实习教学质量监控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为让实习生能够在实习期间切实学有所得和提高临床实践技能水平，印发了《关于进一步实习生管理的通知》，要求各年级辅导员每月定期向实习管理科上报实习生考勤、实习教学、疫情和灾情（若有疫情和灾情，请立即汇报）及其他安全事宜。通过年级辅导员上报的实际情况，我们可以更加及时和更具针对性地解决实习过程中存在的问题，对于实习生的有效管理还是发挥了积极作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ascii="宋体" w:hAnsi="宋体"/>
          <w:sz w:val="24"/>
        </w:rPr>
        <w:t>为加强实习教学质量监控，深入了解实习学生的学习情况，进一步加强与各教学医院的友好联系</w:t>
      </w:r>
      <w:r>
        <w:rPr>
          <w:rFonts w:hint="eastAsia" w:ascii="宋体" w:hAnsi="宋体"/>
          <w:sz w:val="24"/>
        </w:rPr>
        <w:t>，在省内各地州市开展</w:t>
      </w:r>
      <w:r>
        <w:rPr>
          <w:rFonts w:ascii="宋体" w:hAnsi="宋体"/>
          <w:sz w:val="24"/>
        </w:rPr>
        <w:t>临床实习中期检查暨巡回教学活动</w:t>
      </w:r>
      <w:r>
        <w:rPr>
          <w:rFonts w:hint="eastAsia" w:ascii="宋体" w:hAnsi="宋体"/>
          <w:sz w:val="24"/>
        </w:rPr>
        <w:t>。</w:t>
      </w:r>
      <w:r>
        <w:rPr>
          <w:rFonts w:ascii="宋体" w:hAnsi="宋体"/>
          <w:sz w:val="24"/>
        </w:rPr>
        <w:t>专家团队深入到病房一线进行教学示范性查房，培养和训练同学们的临床思维和沟通交流技能，及时解答同学们的各种疑问，教学查房也带动和培养了医院骨干教师。</w:t>
      </w:r>
      <w:r>
        <w:rPr>
          <w:rFonts w:hint="eastAsia" w:ascii="宋体" w:hAnsi="宋体"/>
          <w:sz w:val="24"/>
        </w:rPr>
        <w:t>同时，</w:t>
      </w:r>
      <w:r>
        <w:rPr>
          <w:rFonts w:ascii="宋体" w:hAnsi="宋体"/>
          <w:sz w:val="24"/>
        </w:rPr>
        <w:t>教学管理组还就各教学医院在临床教学安排和管理方面的特色进行了梳理和总结，搭建交流共享平台，取长补短，共同提高临床教学质量。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为加强实习生管理，教学管理办公室分管领导、临床医学系相关人员多次到遵义医学院附属医院各科室进行实习生到岗情况的抽查，并虚心听取各科室带教老师所提意见和认真记录下他们所反应的问题。在检查结束后，对无故不到岗的学生进行了当面谈话和相应的纪律处分，以便教育大多数同学。</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（三）考试管理与监控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学院历来重视考风考纪，根据《遵义医学院医学与科技学院考试管理办法》、《遵义医学院医学与科技学院考风考纪建设的规定》、《遵义医学院医学与科技学院考试试卷质量管理办法》等规章制度，学院分别与监考人员、巡考人员责任书及学生签定了考试诚信承诺书，坚持对监、巡考人员进行培训，院领导班子积极带头巡察考试情况，教学办等职能部门负责人全程巡考。通过在教室安装手机屏蔽仪、开通考风考纪举报电话、设置举报箱等多项措施完善了考务管理，对学生违纪作弊按有关规定进行严肃处理，有效改善了考风考纪。严格按照教学大纲组织命题，并对命题程序、内容结构、题型结构、难易程度、试题量、试卷审批、试卷印刷、试卷保密、组织考试和试卷评阅等环节提出了明确的要求。制定了课程考试命题双向细目表及评分标准，阅卷采取流水作业的方式进行。对每门课程进行考试质量分析，总结教与学方面存在的问题，并提出改进措施，从而保证了各门课程考试的质量。</w:t>
      </w:r>
    </w:p>
    <w:p>
      <w:pPr>
        <w:ind w:firstLine="600" w:firstLineChars="250"/>
        <w:rPr>
          <w:rFonts w:hint="eastAsia" w:ascii="宋体" w:hAnsi="宋体" w:cs="Segoe UI"/>
          <w:kern w:val="0"/>
          <w:sz w:val="24"/>
        </w:rPr>
      </w:pPr>
    </w:p>
    <w:p>
      <w:pPr>
        <w:ind w:firstLine="600" w:firstLineChars="250"/>
        <w:rPr>
          <w:rFonts w:hint="eastAsia" w:ascii="宋体" w:hAnsi="宋体" w:cs="Segoe UI"/>
          <w:kern w:val="0"/>
          <w:sz w:val="24"/>
        </w:rPr>
      </w:pPr>
    </w:p>
    <w:p>
      <w:pPr>
        <w:ind w:firstLine="600" w:firstLineChars="250"/>
        <w:rPr>
          <w:rFonts w:hint="eastAsia" w:ascii="宋体" w:hAnsi="宋体" w:cs="Segoe UI"/>
          <w:kern w:val="0"/>
          <w:sz w:val="24"/>
        </w:rPr>
      </w:pPr>
    </w:p>
    <w:p>
      <w:pPr>
        <w:ind w:firstLine="600" w:firstLineChars="250"/>
        <w:rPr>
          <w:rFonts w:hint="eastAsia" w:ascii="宋体" w:hAnsi="宋体" w:cs="Segoe UI"/>
          <w:kern w:val="0"/>
          <w:sz w:val="24"/>
        </w:rPr>
      </w:pPr>
    </w:p>
    <w:p>
      <w:pPr>
        <w:ind w:firstLine="600" w:firstLineChars="250"/>
        <w:rPr>
          <w:rFonts w:hint="eastAsia" w:ascii="宋体" w:hAnsi="宋体" w:cs="Segoe UI"/>
          <w:kern w:val="0"/>
          <w:sz w:val="24"/>
        </w:rPr>
      </w:pPr>
    </w:p>
    <w:p>
      <w:pPr>
        <w:rPr>
          <w:rFonts w:hint="eastAsia" w:ascii="黑体" w:hAnsi="黑体" w:eastAsia="黑体" w:cs="黑体"/>
          <w:b w:val="0"/>
          <w:bCs/>
          <w:kern w:val="0"/>
          <w:sz w:val="30"/>
          <w:szCs w:val="30"/>
          <w:lang w:eastAsia="zh-CN"/>
        </w:rPr>
      </w:pPr>
      <w:r>
        <w:rPr>
          <w:rFonts w:hint="eastAsia" w:ascii="黑体" w:hAnsi="黑体" w:eastAsia="黑体" w:cs="黑体"/>
          <w:b w:val="0"/>
          <w:bCs/>
          <w:kern w:val="0"/>
          <w:sz w:val="30"/>
          <w:szCs w:val="30"/>
          <w:lang w:eastAsia="zh-CN"/>
        </w:rPr>
        <w:t>六、学生学习效果</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黑体" w:hAnsi="黑体" w:eastAsia="黑体" w:cs="黑体"/>
          <w:b w:val="0"/>
          <w:bCs/>
          <w:kern w:val="0"/>
          <w:sz w:val="28"/>
          <w:szCs w:val="28"/>
        </w:rPr>
      </w:pPr>
      <w:r>
        <w:rPr>
          <w:rFonts w:hint="eastAsia" w:ascii="黑体" w:hAnsi="黑体" w:eastAsia="黑体" w:cs="黑体"/>
          <w:b w:val="0"/>
          <w:bCs/>
          <w:kern w:val="0"/>
          <w:sz w:val="28"/>
          <w:szCs w:val="28"/>
        </w:rPr>
        <w:t>（一）学生学习满意度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r>
        <w:rPr>
          <w:rFonts w:hint="eastAsia" w:ascii="宋体" w:hAnsi="宋体"/>
          <w:sz w:val="24"/>
        </w:rPr>
        <w:t>学院</w:t>
      </w:r>
      <w:r>
        <w:rPr>
          <w:rFonts w:ascii="宋体" w:hAnsi="宋体"/>
          <w:sz w:val="24"/>
        </w:rPr>
        <w:t>十分重视本科教学工作和学生学习情况的反馈，</w:t>
      </w:r>
      <w:r>
        <w:rPr>
          <w:rFonts w:hint="eastAsia" w:ascii="宋体" w:hAnsi="宋体"/>
          <w:sz w:val="24"/>
        </w:rPr>
        <w:t>把教学相长会、</w:t>
      </w:r>
      <w:r>
        <w:rPr>
          <w:rFonts w:ascii="宋体" w:hAnsi="宋体"/>
          <w:sz w:val="24"/>
        </w:rPr>
        <w:t>学生评教</w:t>
      </w:r>
      <w:r>
        <w:rPr>
          <w:rFonts w:hint="eastAsia" w:ascii="宋体" w:hAnsi="宋体"/>
          <w:sz w:val="24"/>
        </w:rPr>
        <w:t>、</w:t>
      </w:r>
      <w:r>
        <w:rPr>
          <w:rFonts w:ascii="宋体" w:hAnsi="宋体"/>
          <w:sz w:val="24"/>
        </w:rPr>
        <w:t>学生座谈</w:t>
      </w:r>
      <w:r>
        <w:rPr>
          <w:rFonts w:hint="eastAsia" w:ascii="宋体" w:hAnsi="宋体"/>
          <w:sz w:val="24"/>
        </w:rPr>
        <w:t>会</w:t>
      </w:r>
      <w:r>
        <w:rPr>
          <w:rFonts w:ascii="宋体" w:hAnsi="宋体"/>
          <w:sz w:val="24"/>
        </w:rPr>
        <w:t>作为</w:t>
      </w:r>
      <w:r>
        <w:rPr>
          <w:rFonts w:hint="eastAsia" w:ascii="宋体" w:hAnsi="宋体"/>
          <w:sz w:val="24"/>
        </w:rPr>
        <w:t>每学期学院的常态性工作开展，并</w:t>
      </w:r>
      <w:r>
        <w:rPr>
          <w:rFonts w:ascii="宋体" w:hAnsi="宋体"/>
          <w:sz w:val="24"/>
        </w:rPr>
        <w:t>将</w:t>
      </w:r>
      <w:r>
        <w:rPr>
          <w:rFonts w:hint="eastAsia" w:ascii="宋体" w:hAnsi="宋体"/>
          <w:sz w:val="24"/>
        </w:rPr>
        <w:t>其作为教学质量监控体系的重要组成部分。同时也非常注意对各专业学生学习满意度信息的收集、分析、汇总等工作，通过反馈及整改，建立闭合性教学质量监控及保障系统，不断提高学生学习满意度。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宋体" w:hAnsi="宋体"/>
          <w:sz w:val="24"/>
        </w:rPr>
      </w:pPr>
      <w:r>
        <w:rPr>
          <w:rFonts w:hint="eastAsia" w:ascii="宋体" w:hAnsi="宋体"/>
          <w:sz w:val="24"/>
        </w:rPr>
        <w:t>从201</w:t>
      </w:r>
      <w:r>
        <w:rPr>
          <w:rFonts w:hint="eastAsia" w:ascii="宋体" w:hAnsi="宋体"/>
          <w:sz w:val="24"/>
          <w:lang w:val="en-US" w:eastAsia="zh-CN"/>
        </w:rPr>
        <w:t>7</w:t>
      </w:r>
      <w:r>
        <w:rPr>
          <w:rFonts w:hint="eastAsia" w:ascii="宋体" w:hAnsi="宋体"/>
          <w:sz w:val="24"/>
        </w:rPr>
        <w:t>年对学生满意度的调查结果来看，大部分学生都对学习情况做了肯定的评价，</w:t>
      </w:r>
      <w:r>
        <w:rPr>
          <w:rFonts w:ascii="宋体" w:hAnsi="宋体"/>
          <w:sz w:val="24"/>
        </w:rPr>
        <w:t>学生学习满意度</w:t>
      </w:r>
      <w:r>
        <w:rPr>
          <w:rFonts w:hint="eastAsia" w:ascii="宋体" w:hAnsi="宋体"/>
          <w:sz w:val="24"/>
        </w:rPr>
        <w:t>达90%以上</w:t>
      </w:r>
      <w:r>
        <w:rPr>
          <w:rFonts w:ascii="宋体" w:hAnsi="宋体"/>
          <w:sz w:val="24"/>
        </w:rPr>
        <w:t>。</w:t>
      </w:r>
      <w:r>
        <w:rPr>
          <w:rFonts w:hint="eastAsia" w:ascii="宋体" w:hAnsi="宋体"/>
          <w:sz w:val="24"/>
        </w:rPr>
        <w:t>他们认为教师上课认真到位，能够创造良好的学习氛围，课堂教学生动形象，并且还结合各种社会实例、通过观看相关记录片等，联系教材理论内容，引导学生进行自我探究和思索，在愉快的学习中增长见识，收益良多。同时，学生也根据实际情况，提出了一些意见和建议：希望增加课堂互动与角色训练的元素，进一步活跃课堂教学气氛；建议老师增加课后对学生的辅导，同时开通各种途径进行相互交流；希望能建立教学资源网络共享平台，供同学们在课余时间学习。</w:t>
      </w:r>
    </w:p>
    <w:p>
      <w:pPr>
        <w:ind w:firstLine="354" w:firstLineChars="147"/>
        <w:rPr>
          <w:rFonts w:hint="eastAsia" w:ascii="宋体" w:hAnsi="宋体" w:cs="Segoe UI"/>
          <w:b/>
          <w:kern w:val="0"/>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黑体" w:hAnsi="黑体" w:eastAsia="黑体" w:cs="黑体"/>
          <w:b w:val="0"/>
          <w:bCs/>
          <w:kern w:val="0"/>
          <w:sz w:val="28"/>
          <w:szCs w:val="28"/>
        </w:rPr>
      </w:pPr>
      <w:r>
        <w:rPr>
          <w:rFonts w:hint="eastAsia" w:ascii="黑体" w:hAnsi="黑体" w:eastAsia="黑体" w:cs="黑体"/>
          <w:b w:val="0"/>
          <w:bCs/>
          <w:kern w:val="0"/>
          <w:sz w:val="28"/>
          <w:szCs w:val="28"/>
        </w:rPr>
        <w:t>（二）毕业与就业</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b w:val="0"/>
          <w:bCs/>
          <w:kern w:val="0"/>
          <w:sz w:val="24"/>
          <w:lang w:val="en-US" w:eastAsia="zh-CN"/>
        </w:rPr>
      </w:pPr>
      <w:r>
        <w:rPr>
          <w:rFonts w:hint="eastAsia" w:ascii="黑体" w:hAnsi="黑体" w:eastAsia="黑体" w:cs="黑体"/>
          <w:b w:val="0"/>
          <w:bCs/>
          <w:kern w:val="0"/>
          <w:sz w:val="24"/>
          <w:lang w:val="en-US" w:eastAsia="zh-CN"/>
        </w:rPr>
        <w:t>1.毕业生情况</w:t>
      </w:r>
    </w:p>
    <w:p>
      <w:pPr>
        <w:pageBreakBefore w:val="0"/>
        <w:widowControl w:val="0"/>
        <w:kinsoku/>
        <w:wordWrap/>
        <w:overflowPunct/>
        <w:topLinePunct w:val="0"/>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学位授予是本科教学质量控制的重要手段。学院在重视人才培养过程的同时，一直坚持学业标准，严把毕业关、学位授予关。2017-2018学年，全院本科毕业生共有1368人，一次性取得毕业证书1341人，一次性毕业率达到98.03%，,获得学士学位1335人，学位授予率为97.59%。</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b w:val="0"/>
          <w:bCs/>
          <w:kern w:val="0"/>
          <w:sz w:val="24"/>
          <w:lang w:val="en-US" w:eastAsia="zh-CN"/>
        </w:rPr>
      </w:pPr>
      <w:bookmarkStart w:id="1" w:name="_Toc342034355"/>
      <w:bookmarkStart w:id="2" w:name="_Toc342285531"/>
      <w:bookmarkStart w:id="3" w:name="_Toc342405489"/>
      <w:bookmarkStart w:id="4" w:name="_Toc342554527"/>
      <w:r>
        <w:rPr>
          <w:rFonts w:hint="eastAsia" w:ascii="黑体" w:hAnsi="黑体" w:eastAsia="黑体" w:cs="黑体"/>
          <w:b w:val="0"/>
          <w:bCs/>
          <w:kern w:val="0"/>
          <w:sz w:val="24"/>
          <w:lang w:val="en-US" w:eastAsia="zh-CN"/>
        </w:rPr>
        <w:t>2.就业情况</w:t>
      </w:r>
      <w:bookmarkEnd w:id="1"/>
      <w:bookmarkEnd w:id="2"/>
      <w:bookmarkEnd w:id="3"/>
      <w:bookmarkEnd w:id="4"/>
      <w:r>
        <w:rPr>
          <w:rFonts w:hint="eastAsia" w:ascii="黑体" w:hAnsi="黑体" w:eastAsia="黑体" w:cs="黑体"/>
          <w:b w:val="0"/>
          <w:bCs/>
          <w:kern w:val="0"/>
          <w:sz w:val="24"/>
          <w:lang w:val="en-US" w:eastAsia="zh-CN"/>
        </w:rPr>
        <w:t xml:space="preserve"> </w:t>
      </w:r>
    </w:p>
    <w:p>
      <w:pPr>
        <w:pageBreakBefore w:val="0"/>
        <w:widowControl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sz w:val="24"/>
        </w:rPr>
      </w:pPr>
      <w:r>
        <w:rPr>
          <w:rFonts w:hint="eastAsia" w:ascii="宋体" w:hAnsi="宋体"/>
          <w:sz w:val="24"/>
        </w:rPr>
        <w:t>近几年来，全国大学毕业生就业形势依然严峻。在就业压力较大的情况下，由于学</w:t>
      </w:r>
      <w:r>
        <w:rPr>
          <w:rFonts w:hint="eastAsia" w:ascii="宋体" w:hAnsi="宋体"/>
          <w:sz w:val="24"/>
          <w:lang w:val="en-US" w:eastAsia="zh-CN"/>
        </w:rPr>
        <w:t>院</w:t>
      </w:r>
      <w:r>
        <w:rPr>
          <w:rFonts w:hint="eastAsia" w:ascii="宋体" w:hAnsi="宋体"/>
          <w:sz w:val="24"/>
        </w:rPr>
        <w:t>卓有成效的开展就业指导工作，学校社会声誉良好，毕业生依然成为省内用人单位的首选。截止201</w:t>
      </w:r>
      <w:r>
        <w:rPr>
          <w:rFonts w:hint="eastAsia" w:ascii="宋体" w:hAnsi="宋体"/>
          <w:sz w:val="24"/>
          <w:lang w:val="en-US" w:eastAsia="zh-CN"/>
        </w:rPr>
        <w:t>8</w:t>
      </w:r>
      <w:r>
        <w:rPr>
          <w:rFonts w:hint="eastAsia" w:ascii="宋体" w:hAnsi="宋体"/>
          <w:sz w:val="24"/>
        </w:rPr>
        <w:t>年8月31日，我</w:t>
      </w:r>
      <w:r>
        <w:rPr>
          <w:rFonts w:hint="eastAsia" w:ascii="宋体" w:hAnsi="宋体"/>
          <w:sz w:val="24"/>
          <w:lang w:val="en-US" w:eastAsia="zh-CN"/>
        </w:rPr>
        <w:t>院</w:t>
      </w:r>
      <w:r>
        <w:rPr>
          <w:rFonts w:hint="eastAsia" w:ascii="宋体" w:hAnsi="宋体"/>
          <w:sz w:val="24"/>
        </w:rPr>
        <w:t>201</w:t>
      </w:r>
      <w:r>
        <w:rPr>
          <w:rFonts w:hint="eastAsia" w:ascii="宋体" w:hAnsi="宋体"/>
          <w:sz w:val="24"/>
          <w:lang w:val="en-US" w:eastAsia="zh-CN"/>
        </w:rPr>
        <w:t>8</w:t>
      </w:r>
      <w:r>
        <w:rPr>
          <w:rFonts w:hint="eastAsia" w:ascii="宋体" w:hAnsi="宋体"/>
          <w:sz w:val="24"/>
        </w:rPr>
        <w:t>届本科毕业生数1</w:t>
      </w:r>
      <w:r>
        <w:rPr>
          <w:rFonts w:hint="eastAsia" w:ascii="宋体" w:hAnsi="宋体"/>
          <w:sz w:val="24"/>
          <w:lang w:val="en-US" w:eastAsia="zh-CN"/>
        </w:rPr>
        <w:t>368</w:t>
      </w:r>
      <w:r>
        <w:rPr>
          <w:rFonts w:hint="eastAsia" w:ascii="宋体" w:hAnsi="宋体"/>
          <w:sz w:val="24"/>
        </w:rPr>
        <w:t>人，就业人数</w:t>
      </w:r>
      <w:r>
        <w:rPr>
          <w:rFonts w:hint="eastAsia" w:ascii="宋体" w:hAnsi="宋体"/>
          <w:sz w:val="24"/>
          <w:lang w:val="en-US" w:eastAsia="zh-CN"/>
        </w:rPr>
        <w:t>1000</w:t>
      </w:r>
      <w:r>
        <w:rPr>
          <w:rFonts w:hint="eastAsia" w:ascii="宋体" w:hAnsi="宋体"/>
          <w:sz w:val="24"/>
        </w:rPr>
        <w:t>人，就业率达</w:t>
      </w:r>
      <w:r>
        <w:rPr>
          <w:rFonts w:hint="eastAsia" w:ascii="宋体" w:hAnsi="宋体"/>
          <w:sz w:val="24"/>
          <w:lang w:val="en-US" w:eastAsia="zh-CN"/>
        </w:rPr>
        <w:t>73.10</w:t>
      </w:r>
      <w:r>
        <w:rPr>
          <w:rFonts w:hint="eastAsia" w:ascii="宋体" w:hAnsi="宋体"/>
          <w:sz w:val="24"/>
        </w:rPr>
        <w:t>%。</w:t>
      </w:r>
    </w:p>
    <w:p>
      <w:pPr>
        <w:pageBreakBefore w:val="0"/>
        <w:widowControl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cs="新宋体"/>
          <w:kern w:val="0"/>
          <w:sz w:val="24"/>
        </w:rPr>
      </w:pPr>
      <w:r>
        <w:rPr>
          <w:rFonts w:hint="eastAsia" w:ascii="宋体" w:hAnsi="宋体"/>
          <w:sz w:val="24"/>
        </w:rPr>
        <w:t>对</w:t>
      </w:r>
      <w:r>
        <w:rPr>
          <w:rFonts w:hint="eastAsia" w:ascii="宋体" w:hAnsi="宋体"/>
          <w:sz w:val="24"/>
          <w:lang w:val="en-US" w:eastAsia="zh-CN"/>
        </w:rPr>
        <w:t>2018</w:t>
      </w:r>
      <w:r>
        <w:rPr>
          <w:rFonts w:hint="eastAsia" w:ascii="宋体" w:hAnsi="宋体"/>
          <w:sz w:val="24"/>
        </w:rPr>
        <w:t>年学</w:t>
      </w:r>
      <w:r>
        <w:rPr>
          <w:rFonts w:hint="eastAsia" w:ascii="宋体" w:hAnsi="宋体"/>
          <w:sz w:val="24"/>
          <w:lang w:val="en-US" w:eastAsia="zh-CN"/>
        </w:rPr>
        <w:t>院</w:t>
      </w:r>
      <w:r>
        <w:rPr>
          <w:rFonts w:hint="eastAsia" w:ascii="宋体" w:hAnsi="宋体"/>
          <w:sz w:val="24"/>
        </w:rPr>
        <w:t>毕业生就业流向进行统计分析，结果显示：毕业生就业主要方向是医疗卫生单位，企业和事业单位，符合我</w:t>
      </w:r>
      <w:r>
        <w:rPr>
          <w:rFonts w:hint="eastAsia" w:ascii="宋体" w:hAnsi="宋体"/>
          <w:sz w:val="24"/>
          <w:lang w:val="en-US" w:eastAsia="zh-CN"/>
        </w:rPr>
        <w:t>院</w:t>
      </w:r>
      <w:r>
        <w:rPr>
          <w:rFonts w:hint="eastAsia" w:ascii="宋体" w:hAnsi="宋体"/>
          <w:sz w:val="24"/>
        </w:rPr>
        <w:t>“为基层培养高素质应用型人才”的办学特点。</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黑体" w:hAnsi="黑体" w:eastAsia="黑体" w:cs="黑体"/>
          <w:b w:val="0"/>
          <w:bCs/>
          <w:kern w:val="0"/>
          <w:sz w:val="24"/>
          <w:lang w:val="en-US" w:eastAsia="zh-CN"/>
        </w:rPr>
      </w:pPr>
      <w:r>
        <w:rPr>
          <w:rFonts w:hint="eastAsia" w:ascii="黑体" w:hAnsi="黑体" w:eastAsia="黑体" w:cs="黑体"/>
          <w:b w:val="0"/>
          <w:bCs/>
          <w:kern w:val="0"/>
          <w:sz w:val="24"/>
          <w:lang w:val="en-US" w:eastAsia="zh-CN"/>
        </w:rPr>
        <w:t xml:space="preserve">3.学生成就 </w:t>
      </w:r>
    </w:p>
    <w:p>
      <w:pPr>
        <w:pageBreakBefore w:val="0"/>
        <w:widowControl w:val="0"/>
        <w:kinsoku/>
        <w:wordWrap/>
        <w:overflowPunct/>
        <w:topLinePunct w:val="0"/>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学院紧紧围绕规模适度、结构合理、实力雄厚、质量过硬、特色鲜明的</w:t>
      </w:r>
      <w:r>
        <w:rPr>
          <w:rFonts w:hint="eastAsia" w:ascii="宋体" w:hAnsi="宋体" w:cs="Segoe UI"/>
          <w:b w:val="0"/>
          <w:bCs/>
          <w:kern w:val="0"/>
          <w:sz w:val="24"/>
        </w:rPr>
        <w:t>贵州一流，国内有一定影响力，以医学为主的高水平独立学院</w:t>
      </w:r>
      <w:r>
        <w:rPr>
          <w:rFonts w:hint="eastAsia" w:ascii="宋体" w:hAnsi="宋体"/>
          <w:sz w:val="24"/>
        </w:rPr>
        <w:t>发展目标，坚持“质量立校、人才强校、特色兴校”的工作思路，不断加强学科专业建设、人才队伍建设、校园基础设施建设，强化办学特色，不断提高教育教学质量和办学水平，全面推进人才培养、科学研究、社会服务和文化传承创新协调发展。科学制定并严格执行本科培养方案，注重以长征精神育人，培养学生树立正确的人生观、价值观，不怕困难、吃苦耐劳、顽强奋斗的品格，注重学生实践教育，培养学生的独立工作能力、以及分析解决问题和动手操作的能力。我</w:t>
      </w:r>
      <w:r>
        <w:rPr>
          <w:rFonts w:hint="eastAsia" w:ascii="宋体" w:hAnsi="宋体"/>
          <w:sz w:val="24"/>
          <w:lang w:val="en-US" w:eastAsia="zh-CN"/>
        </w:rPr>
        <w:t>院</w:t>
      </w:r>
      <w:r>
        <w:rPr>
          <w:rFonts w:hint="eastAsia" w:ascii="宋体" w:hAnsi="宋体"/>
          <w:sz w:val="24"/>
        </w:rPr>
        <w:t>各届毕业生奋战在各条战线上，成为所在单位的骨干。大部分毕业生扎根在医疗卫生战线，服务基层医疗。我</w:t>
      </w:r>
      <w:r>
        <w:rPr>
          <w:rFonts w:hint="eastAsia" w:ascii="宋体" w:hAnsi="宋体"/>
          <w:sz w:val="24"/>
          <w:lang w:val="en-US" w:eastAsia="zh-CN"/>
        </w:rPr>
        <w:t>院</w:t>
      </w:r>
      <w:r>
        <w:rPr>
          <w:rFonts w:hint="eastAsia" w:ascii="宋体" w:hAnsi="宋体"/>
          <w:sz w:val="24"/>
        </w:rPr>
        <w:t>历届校友中，涌现出一批杰出人才。</w:t>
      </w:r>
    </w:p>
    <w:p>
      <w:pPr>
        <w:pageBreakBefore w:val="0"/>
        <w:widowControl w:val="0"/>
        <w:kinsoku/>
        <w:wordWrap/>
        <w:overflowPunct/>
        <w:topLinePunct w:val="0"/>
        <w:bidi w:val="0"/>
        <w:adjustRightInd/>
        <w:snapToGrid/>
        <w:spacing w:line="400" w:lineRule="exact"/>
        <w:textAlignment w:val="auto"/>
        <w:rPr>
          <w:rFonts w:hint="eastAsia" w:ascii="宋体" w:hAnsi="宋体"/>
          <w:sz w:val="24"/>
          <w:szCs w:val="24"/>
        </w:rPr>
      </w:pPr>
      <w:r>
        <w:rPr>
          <w:rFonts w:hint="eastAsia" w:ascii="黑体" w:hAnsi="黑体" w:eastAsia="黑体" w:cs="黑体"/>
          <w:b w:val="0"/>
          <w:bCs/>
          <w:kern w:val="0"/>
          <w:sz w:val="24"/>
          <w:szCs w:val="24"/>
          <w:lang w:val="en-US" w:eastAsia="zh-CN" w:bidi="ar-SA"/>
        </w:rPr>
        <w:t xml:space="preserve">4.社会评价    </w:t>
      </w:r>
      <w:r>
        <w:rPr>
          <w:rFonts w:hint="eastAsia" w:ascii="宋体" w:hAnsi="宋体"/>
          <w:sz w:val="24"/>
          <w:szCs w:val="24"/>
        </w:rPr>
        <w:t xml:space="preserve">    </w:t>
      </w:r>
    </w:p>
    <w:p>
      <w:pPr>
        <w:pageBreakBefore w:val="0"/>
        <w:widowControl w:val="0"/>
        <w:kinsoku/>
        <w:wordWrap/>
        <w:overflowPunct/>
        <w:topLinePunct w:val="0"/>
        <w:bidi w:val="0"/>
        <w:adjustRightInd/>
        <w:snapToGrid/>
        <w:spacing w:line="400" w:lineRule="exact"/>
        <w:ind w:firstLine="480" w:firstLineChars="200"/>
        <w:jc w:val="left"/>
        <w:textAlignment w:val="auto"/>
        <w:rPr>
          <w:rFonts w:hint="eastAsia" w:ascii="宋体" w:hAnsi="宋体"/>
          <w:sz w:val="24"/>
        </w:rPr>
      </w:pPr>
      <w:r>
        <w:rPr>
          <w:rFonts w:hint="eastAsia" w:ascii="宋体" w:hAnsi="宋体"/>
          <w:sz w:val="24"/>
        </w:rPr>
        <w:t>201</w:t>
      </w:r>
      <w:r>
        <w:rPr>
          <w:rFonts w:hint="eastAsia" w:ascii="宋体" w:hAnsi="宋体"/>
          <w:sz w:val="24"/>
          <w:lang w:val="en-US" w:eastAsia="zh-CN"/>
        </w:rPr>
        <w:t>7</w:t>
      </w:r>
      <w:r>
        <w:rPr>
          <w:rFonts w:hint="eastAsia" w:ascii="宋体" w:hAnsi="宋体"/>
          <w:sz w:val="24"/>
        </w:rPr>
        <w:t>年8月，我</w:t>
      </w:r>
      <w:r>
        <w:rPr>
          <w:rFonts w:hint="eastAsia" w:ascii="宋体" w:hAnsi="宋体"/>
          <w:sz w:val="24"/>
          <w:lang w:val="en-US" w:eastAsia="zh-CN"/>
        </w:rPr>
        <w:t>院</w:t>
      </w:r>
      <w:r>
        <w:rPr>
          <w:rFonts w:hint="eastAsia" w:ascii="宋体" w:hAnsi="宋体"/>
          <w:sz w:val="24"/>
        </w:rPr>
        <w:t>委托第三方机构对分布全国的用人单位开展毕业生满意度调查。用人单位对我</w:t>
      </w:r>
      <w:r>
        <w:rPr>
          <w:rFonts w:hint="eastAsia" w:ascii="宋体" w:hAnsi="宋体"/>
          <w:sz w:val="24"/>
          <w:lang w:val="en-US" w:eastAsia="zh-CN"/>
        </w:rPr>
        <w:t>院</w:t>
      </w:r>
      <w:r>
        <w:rPr>
          <w:rFonts w:hint="eastAsia" w:ascii="宋体" w:hAnsi="宋体"/>
          <w:sz w:val="24"/>
        </w:rPr>
        <w:t>毕业生的思想政治素质、综合工作能力、知识水平、专业技能、身心素质和态度、团队精神、学习情况、管理水平、总体素质这些方面表示认可，总体满意度达到90%以上。</w:t>
      </w:r>
    </w:p>
    <w:p>
      <w:pPr>
        <w:ind w:firstLine="480" w:firstLineChars="200"/>
        <w:rPr>
          <w:rFonts w:hint="eastAsia" w:ascii="宋体" w:hAnsi="宋体" w:cs="Segoe UI"/>
          <w:kern w:val="0"/>
          <w:sz w:val="24"/>
        </w:rPr>
      </w:pPr>
    </w:p>
    <w:p>
      <w:pPr>
        <w:ind w:firstLine="480" w:firstLineChars="200"/>
        <w:rPr>
          <w:rFonts w:hint="eastAsia" w:ascii="宋体" w:hAnsi="宋体" w:cs="Segoe UI"/>
          <w:kern w:val="0"/>
          <w:sz w:val="24"/>
        </w:rPr>
      </w:pPr>
    </w:p>
    <w:p>
      <w:pPr>
        <w:rPr>
          <w:rFonts w:hint="eastAsia" w:ascii="黑体" w:hAnsi="黑体" w:eastAsia="黑体" w:cs="黑体"/>
          <w:b w:val="0"/>
          <w:bCs/>
          <w:kern w:val="0"/>
          <w:sz w:val="30"/>
          <w:szCs w:val="30"/>
          <w:lang w:eastAsia="zh-CN"/>
        </w:rPr>
      </w:pPr>
      <w:r>
        <w:rPr>
          <w:rFonts w:hint="eastAsia" w:ascii="黑体" w:hAnsi="黑体" w:eastAsia="黑体" w:cs="黑体"/>
          <w:b w:val="0"/>
          <w:bCs/>
          <w:kern w:val="0"/>
          <w:sz w:val="30"/>
          <w:szCs w:val="30"/>
          <w:lang w:eastAsia="zh-CN"/>
        </w:rPr>
        <w:t>七、特色发展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r>
        <w:rPr>
          <w:rFonts w:hint="eastAsia" w:ascii="宋体" w:hAnsi="宋体"/>
          <w:sz w:val="24"/>
        </w:rPr>
        <w:t>学院十分重视办学思想、办学理念的凝练与传承，办学十余年来，弘扬母体学校优良传统，传承母体学校“遵医精神”，形成了“以社会需求为导向，发扬长征精神，注重实践教育，为基层培养下得去、用得上、留得住、干得好的高素质应用型人才”的办学特色。</w:t>
      </w:r>
    </w:p>
    <w:p>
      <w:pPr>
        <w:ind w:firstLine="361" w:firstLineChars="150"/>
        <w:rPr>
          <w:rFonts w:hint="eastAsia" w:ascii="宋体" w:hAnsi="宋体" w:cs="Segoe UI"/>
          <w:b/>
          <w:kern w:val="0"/>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黑体" w:hAnsi="黑体" w:eastAsia="黑体" w:cs="黑体"/>
          <w:b w:val="0"/>
          <w:bCs/>
          <w:kern w:val="0"/>
          <w:sz w:val="28"/>
          <w:szCs w:val="28"/>
        </w:rPr>
      </w:pPr>
      <w:r>
        <w:rPr>
          <w:rFonts w:hint="eastAsia" w:ascii="黑体" w:hAnsi="黑体" w:eastAsia="黑体" w:cs="黑体"/>
          <w:b w:val="0"/>
          <w:bCs/>
          <w:kern w:val="0"/>
          <w:sz w:val="28"/>
          <w:szCs w:val="28"/>
        </w:rPr>
        <w:t>（一）继承革命传统，弘扬长征精神</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r>
        <w:rPr>
          <w:rFonts w:hint="eastAsia" w:ascii="宋体" w:hAnsi="宋体"/>
          <w:sz w:val="24"/>
        </w:rPr>
        <w:t>学院注重思政工作内涵发展，借鉴母体学校经验和做法，形成了“明德笃学 践履求真”的校训，“严谨求实 博学创新”的校风，“敬业崇德 术精行范”的教风，“诚信进取 精益求精”的学风，在办学实践中培育独具特色的精神文化，形成了富有特色的校园思想政治教育精品栏目——弘扬长征精神、继承革命传统的“十个一”工程。该工程特色鲜明，成效显著，曾获得教育部首届全国民办高校党的建设和思想政治工作优秀成果一等奖。</w:t>
      </w:r>
    </w:p>
    <w:p>
      <w:pPr>
        <w:ind w:firstLine="361" w:firstLineChars="150"/>
        <w:rPr>
          <w:rFonts w:hint="eastAsia" w:ascii="宋体" w:hAnsi="宋体" w:cs="Segoe UI"/>
          <w:b/>
          <w:kern w:val="0"/>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黑体" w:hAnsi="黑体" w:eastAsia="黑体" w:cs="黑体"/>
          <w:b w:val="0"/>
          <w:bCs/>
          <w:kern w:val="0"/>
          <w:sz w:val="28"/>
          <w:szCs w:val="28"/>
        </w:rPr>
      </w:pPr>
      <w:r>
        <w:rPr>
          <w:rFonts w:hint="eastAsia" w:ascii="黑体" w:hAnsi="黑体" w:eastAsia="黑体" w:cs="黑体"/>
          <w:b w:val="0"/>
          <w:bCs/>
          <w:kern w:val="0"/>
          <w:sz w:val="28"/>
          <w:szCs w:val="28"/>
        </w:rPr>
        <w:t>（二）注重实践教育</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r>
        <w:rPr>
          <w:rFonts w:hint="eastAsia" w:ascii="宋体" w:hAnsi="宋体"/>
          <w:sz w:val="24"/>
        </w:rPr>
        <w:t>在实践教学方面，学院构建了基础实践、专业实践、综合实践相结合的实践教学体系，尤其是在毕业前开展的40学时的临床技能培训课程，为医学生走上工作岗位奠定了坚实的基础。此外，近年来学院大学生创新创业教育体系进一步完善，在原有基础上，加大创新创业教育宣传工作，申报前讲座宣传融合了“挑战杯”相关知识，内容更加丰富；随着该体系的不断完善，每年申报大学生创新创业训练计划项目的同学逐年递增，入选要求较之前也更加严格规范，保证入选项目质量稳步提升。</w:t>
      </w:r>
    </w:p>
    <w:p>
      <w:pPr>
        <w:ind w:firstLine="361" w:firstLineChars="150"/>
        <w:rPr>
          <w:rFonts w:hint="eastAsia" w:ascii="宋体" w:hAnsi="宋体" w:cs="Segoe UI"/>
          <w:b/>
          <w:kern w:val="0"/>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黑体" w:hAnsi="黑体" w:eastAsia="黑体" w:cs="黑体"/>
          <w:b w:val="0"/>
          <w:bCs/>
          <w:kern w:val="0"/>
          <w:sz w:val="28"/>
          <w:szCs w:val="28"/>
        </w:rPr>
      </w:pPr>
      <w:r>
        <w:rPr>
          <w:rFonts w:hint="eastAsia" w:ascii="黑体" w:hAnsi="黑体" w:eastAsia="黑体" w:cs="黑体"/>
          <w:b w:val="0"/>
          <w:bCs/>
          <w:kern w:val="0"/>
          <w:sz w:val="28"/>
          <w:szCs w:val="28"/>
        </w:rPr>
        <w:t>（三）积极推进课程形成性考核评价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宋体" w:hAnsi="宋体"/>
          <w:sz w:val="24"/>
        </w:rPr>
      </w:pPr>
      <w:r>
        <w:rPr>
          <w:rFonts w:hint="eastAsia" w:ascii="宋体" w:hAnsi="宋体"/>
          <w:sz w:val="24"/>
        </w:rPr>
        <w:t>为了解决传统的</w:t>
      </w:r>
      <w:r>
        <w:rPr>
          <w:rFonts w:ascii="宋体" w:hAnsi="宋体"/>
          <w:sz w:val="24"/>
        </w:rPr>
        <w:t>“</w:t>
      </w:r>
      <w:r>
        <w:rPr>
          <w:rFonts w:hint="eastAsia" w:ascii="宋体" w:hAnsi="宋体"/>
          <w:sz w:val="24"/>
        </w:rPr>
        <w:t>一考定终身</w:t>
      </w:r>
      <w:r>
        <w:rPr>
          <w:rFonts w:ascii="宋体" w:hAnsi="宋体"/>
          <w:sz w:val="24"/>
        </w:rPr>
        <w:t>”</w:t>
      </w:r>
      <w:r>
        <w:rPr>
          <w:rFonts w:hint="eastAsia" w:ascii="宋体" w:hAnsi="宋体"/>
          <w:sz w:val="24"/>
        </w:rPr>
        <w:t>问题，学院从2013年6月全面启动课程考试方式改革试点工作，并制订了《遵义医学院医学与科技学院课程考核改革方案》，通过考试方法的改革使教学工作的重点真正落实到学生能力的培养和自身素质的提高，充分发挥课程考试在教学中的引导、评价、反馈和激励作用，调动学生在整个课程学习过程中的参与性、主动性和自觉性。</w:t>
      </w:r>
    </w:p>
    <w:p>
      <w:pPr>
        <w:ind w:firstLine="361" w:firstLineChars="150"/>
        <w:rPr>
          <w:rFonts w:hint="eastAsia" w:ascii="宋体" w:hAnsi="宋体" w:cs="Segoe UI"/>
          <w:b/>
          <w:kern w:val="0"/>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黑体" w:hAnsi="黑体" w:eastAsia="黑体" w:cs="黑体"/>
          <w:b w:val="0"/>
          <w:bCs/>
          <w:kern w:val="0"/>
          <w:sz w:val="28"/>
          <w:szCs w:val="28"/>
        </w:rPr>
      </w:pPr>
      <w:r>
        <w:rPr>
          <w:rFonts w:hint="eastAsia" w:ascii="黑体" w:hAnsi="黑体" w:eastAsia="黑体" w:cs="黑体"/>
          <w:b w:val="0"/>
          <w:bCs/>
          <w:kern w:val="0"/>
          <w:sz w:val="28"/>
          <w:szCs w:val="28"/>
        </w:rPr>
        <w:t>（四）为基层培养了大批高素质应用型人才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Segoe UI"/>
          <w:kern w:val="0"/>
          <w:sz w:val="24"/>
        </w:rPr>
      </w:pPr>
      <w:r>
        <w:rPr>
          <w:rFonts w:hint="eastAsia" w:ascii="宋体" w:hAnsi="宋体"/>
          <w:sz w:val="24"/>
        </w:rPr>
        <w:t>近年来，学院教育教学质量不断提升，学院得到了广大用人单位和学生家长的广泛认可和肯定。学院招生生源质量不断提升，省内均是一志愿录满，且医学类专业最低录取分数均远远超过省控制线；学院通过就业指导课、组织大型校内招聘会和专场招聘会、开展就业宣传活动等有效措施，积极引导和促进学生就业工作。截止2018年8月31日，我院2018届本科毕业生数1368人，就业人数1000人，就业率达73.10%。</w:t>
      </w:r>
    </w:p>
    <w:p>
      <w:pPr>
        <w:rPr>
          <w:rFonts w:hint="eastAsia" w:ascii="宋体" w:hAnsi="宋体" w:cs="Segoe UI"/>
          <w:b/>
          <w:kern w:val="0"/>
          <w:sz w:val="24"/>
        </w:rPr>
      </w:pPr>
    </w:p>
    <w:p>
      <w:pPr>
        <w:rPr>
          <w:rFonts w:hint="eastAsia" w:ascii="宋体" w:hAnsi="宋体" w:cs="Segoe UI"/>
          <w:b/>
          <w:kern w:val="0"/>
          <w:sz w:val="24"/>
        </w:rPr>
      </w:pPr>
    </w:p>
    <w:p>
      <w:pPr>
        <w:rPr>
          <w:rFonts w:hint="eastAsia" w:ascii="黑体" w:hAnsi="黑体" w:eastAsia="黑体" w:cs="黑体"/>
          <w:b w:val="0"/>
          <w:bCs/>
          <w:kern w:val="0"/>
          <w:sz w:val="30"/>
          <w:szCs w:val="30"/>
          <w:lang w:eastAsia="zh-CN"/>
        </w:rPr>
      </w:pPr>
      <w:r>
        <w:rPr>
          <w:rFonts w:hint="eastAsia" w:ascii="黑体" w:hAnsi="黑体" w:eastAsia="黑体" w:cs="黑体"/>
          <w:b w:val="0"/>
          <w:bCs/>
          <w:kern w:val="0"/>
          <w:sz w:val="30"/>
          <w:szCs w:val="30"/>
          <w:lang w:eastAsia="zh-CN"/>
        </w:rPr>
        <w:t>八、存在的问题与对策</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outlineLvl w:val="9"/>
        <w:rPr>
          <w:rFonts w:ascii="宋体" w:hAnsi="宋体"/>
          <w:sz w:val="24"/>
        </w:rPr>
      </w:pPr>
      <w:r>
        <w:rPr>
          <w:rFonts w:ascii="宋体" w:hAnsi="宋体"/>
          <w:sz w:val="24"/>
        </w:rPr>
        <w:t>201</w:t>
      </w:r>
      <w:r>
        <w:rPr>
          <w:rFonts w:hint="eastAsia" w:ascii="宋体" w:hAnsi="宋体"/>
          <w:sz w:val="24"/>
          <w:lang w:val="en-US" w:eastAsia="zh-CN"/>
        </w:rPr>
        <w:t>7</w:t>
      </w:r>
      <w:r>
        <w:rPr>
          <w:rFonts w:ascii="宋体" w:hAnsi="宋体"/>
          <w:sz w:val="24"/>
        </w:rPr>
        <w:t>年，</w:t>
      </w:r>
      <w:r>
        <w:rPr>
          <w:rFonts w:hint="eastAsia" w:ascii="宋体" w:hAnsi="宋体"/>
          <w:sz w:val="24"/>
        </w:rPr>
        <w:t>学院</w:t>
      </w:r>
      <w:r>
        <w:rPr>
          <w:rFonts w:ascii="宋体" w:hAnsi="宋体"/>
          <w:sz w:val="24"/>
        </w:rPr>
        <w:t>本科教育改革</w:t>
      </w:r>
      <w:r>
        <w:rPr>
          <w:rFonts w:hint="eastAsia" w:ascii="宋体" w:hAnsi="宋体"/>
          <w:sz w:val="24"/>
        </w:rPr>
        <w:t>工作扎实深入</w:t>
      </w:r>
      <w:r>
        <w:rPr>
          <w:rFonts w:ascii="宋体" w:hAnsi="宋体"/>
          <w:sz w:val="24"/>
        </w:rPr>
        <w:t>推进，在人才培养</w:t>
      </w:r>
      <w:r>
        <w:rPr>
          <w:rFonts w:hint="eastAsia" w:ascii="宋体" w:hAnsi="宋体"/>
          <w:sz w:val="24"/>
        </w:rPr>
        <w:t>模式改革、教学内涵建设上取得了很多突破和成绩。但是</w:t>
      </w:r>
      <w:r>
        <w:rPr>
          <w:rFonts w:ascii="宋体" w:hAnsi="宋体"/>
          <w:sz w:val="24"/>
        </w:rPr>
        <w:t>，</w:t>
      </w:r>
      <w:r>
        <w:rPr>
          <w:rFonts w:hint="eastAsia" w:ascii="宋体" w:hAnsi="宋体"/>
          <w:sz w:val="24"/>
        </w:rPr>
        <w:t>师资培养、教育教学改革等方面依然存在一定的滞后性，在以质量提升为核心的内涵式发展道路上，还有很多工作要做。</w:t>
      </w:r>
    </w:p>
    <w:p>
      <w:pPr>
        <w:ind w:firstLine="480" w:firstLineChars="200"/>
        <w:rPr>
          <w:rFonts w:ascii="宋体" w:hAnsi="宋体" w:cs="Segoe UI"/>
          <w:kern w:val="0"/>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黑体" w:hAnsi="黑体" w:eastAsia="黑体" w:cs="黑体"/>
          <w:b w:val="0"/>
          <w:bCs/>
          <w:kern w:val="0"/>
          <w:sz w:val="28"/>
          <w:szCs w:val="28"/>
        </w:rPr>
      </w:pPr>
      <w:r>
        <w:rPr>
          <w:rFonts w:hint="eastAsia" w:ascii="黑体" w:hAnsi="黑体" w:eastAsia="黑体" w:cs="黑体"/>
          <w:b w:val="0"/>
          <w:bCs/>
          <w:kern w:val="0"/>
          <w:sz w:val="28"/>
          <w:szCs w:val="28"/>
        </w:rPr>
        <w:t xml:space="preserve">（一）学院师资结构尚待改善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r>
        <w:rPr>
          <w:rFonts w:hint="eastAsia" w:ascii="宋体" w:hAnsi="宋体"/>
          <w:sz w:val="24"/>
        </w:rPr>
        <w:t>学院具有一定影响的高水平学科领军人才依然不足，尽管一直在努力协调发展师资队伍建设工作，但是，学院师资队伍建设问题依然存在，尤其是医学相关专业的师资队伍建设有待进一步优先调整和充实。学院目前与相关企业已建立合作关系，下一步将着力引进一批高层次人才，以解决领军人才和师资队伍不足的现状。</w:t>
      </w:r>
    </w:p>
    <w:p>
      <w:pPr>
        <w:ind w:firstLine="480" w:firstLineChars="200"/>
        <w:rPr>
          <w:rFonts w:hint="eastAsia" w:ascii="宋体" w:hAnsi="宋体" w:cs="Segoe UI"/>
          <w:kern w:val="0"/>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黑体" w:hAnsi="黑体" w:eastAsia="黑体" w:cs="黑体"/>
          <w:b w:val="0"/>
          <w:bCs/>
          <w:kern w:val="0"/>
          <w:sz w:val="28"/>
          <w:szCs w:val="28"/>
        </w:rPr>
      </w:pPr>
      <w:r>
        <w:rPr>
          <w:rFonts w:hint="eastAsia" w:ascii="黑体" w:hAnsi="黑体" w:eastAsia="黑体" w:cs="黑体"/>
          <w:b w:val="0"/>
          <w:bCs/>
          <w:kern w:val="0"/>
          <w:sz w:val="28"/>
          <w:szCs w:val="28"/>
        </w:rPr>
        <w:t>（二）课程形成性考核评价工作还有待于进一步加强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r>
        <w:rPr>
          <w:rFonts w:hint="eastAsia" w:ascii="宋体" w:hAnsi="宋体"/>
          <w:sz w:val="24"/>
        </w:rPr>
        <w:t>学院开展的形成性考核评价</w:t>
      </w:r>
      <w:r>
        <w:rPr>
          <w:rFonts w:ascii="宋体" w:hAnsi="宋体"/>
          <w:sz w:val="24"/>
        </w:rPr>
        <w:t>，</w:t>
      </w:r>
      <w:r>
        <w:rPr>
          <w:rFonts w:hint="eastAsia" w:ascii="宋体" w:hAnsi="宋体"/>
          <w:sz w:val="24"/>
        </w:rPr>
        <w:t>对我院</w:t>
      </w:r>
      <w:r>
        <w:rPr>
          <w:rFonts w:ascii="宋体" w:hAnsi="宋体"/>
          <w:sz w:val="24"/>
        </w:rPr>
        <w:t>本科教育改革和质量的提升</w:t>
      </w:r>
      <w:r>
        <w:rPr>
          <w:rFonts w:hint="eastAsia" w:ascii="宋体" w:hAnsi="宋体"/>
          <w:sz w:val="24"/>
        </w:rPr>
        <w:t>起到了积极的推动作用</w:t>
      </w:r>
      <w:r>
        <w:rPr>
          <w:rFonts w:ascii="宋体" w:hAnsi="宋体"/>
          <w:sz w:val="24"/>
        </w:rPr>
        <w:t>，</w:t>
      </w:r>
      <w:r>
        <w:rPr>
          <w:rFonts w:hint="eastAsia" w:ascii="宋体" w:hAnsi="宋体"/>
          <w:sz w:val="24"/>
        </w:rPr>
        <w:t>终结了以往“一卷定终身”的考试模式</w:t>
      </w:r>
      <w:r>
        <w:rPr>
          <w:rFonts w:ascii="宋体" w:hAnsi="宋体"/>
          <w:sz w:val="24"/>
        </w:rPr>
        <w:t>。</w:t>
      </w:r>
      <w:r>
        <w:rPr>
          <w:rFonts w:hint="eastAsia" w:ascii="宋体" w:hAnsi="宋体"/>
          <w:sz w:val="24"/>
        </w:rPr>
        <w:t>在项目的实施与推进过程中，学院专门召开各个部门和各个层次的研讨会，对于课程特点、教学方法、课程考核方式以及实践教学等方面进行了充分的讨论和论证。目前，学院采取的形成性评价方式主要以考勤、作业和小测验为主。在考核方式改革的力度上还不够，评价形式还比较单一，必须要体现多元化的评价和过程性评价为主体的评价方式，真正建立“大学生自主学习”和“以学生为本”的评价模式。</w:t>
      </w:r>
    </w:p>
    <w:p>
      <w:pPr>
        <w:rPr>
          <w:rFonts w:hint="eastAsia" w:ascii="宋体" w:hAnsi="宋体" w:cs="Segoe UI"/>
          <w:b/>
          <w:kern w:val="0"/>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黑体" w:hAnsi="黑体" w:eastAsia="黑体" w:cs="黑体"/>
          <w:b w:val="0"/>
          <w:bCs/>
          <w:kern w:val="0"/>
          <w:sz w:val="28"/>
          <w:szCs w:val="28"/>
        </w:rPr>
      </w:pPr>
      <w:r>
        <w:rPr>
          <w:rFonts w:hint="eastAsia" w:ascii="黑体" w:hAnsi="黑体" w:eastAsia="黑体" w:cs="黑体"/>
          <w:b w:val="0"/>
          <w:bCs/>
          <w:kern w:val="0"/>
          <w:sz w:val="28"/>
          <w:szCs w:val="28"/>
        </w:rPr>
        <w:t>（三）教学内涵建设尚有待于进一步提高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r>
        <w:rPr>
          <w:rFonts w:ascii="宋体" w:hAnsi="宋体"/>
          <w:sz w:val="24"/>
        </w:rPr>
        <w:t>多年来，</w:t>
      </w:r>
      <w:r>
        <w:rPr>
          <w:rFonts w:hint="eastAsia" w:ascii="宋体" w:hAnsi="宋体"/>
          <w:sz w:val="24"/>
        </w:rPr>
        <w:t>学院围绕“</w:t>
      </w:r>
      <w:r>
        <w:rPr>
          <w:rFonts w:ascii="宋体" w:hAnsi="宋体"/>
          <w:sz w:val="24"/>
        </w:rPr>
        <w:t>以学生为中心</w:t>
      </w:r>
      <w:r>
        <w:rPr>
          <w:rFonts w:hint="eastAsia" w:ascii="宋体" w:hAnsi="宋体"/>
          <w:sz w:val="24"/>
        </w:rPr>
        <w:t>”</w:t>
      </w:r>
      <w:r>
        <w:rPr>
          <w:rFonts w:ascii="宋体" w:hAnsi="宋体"/>
          <w:sz w:val="24"/>
        </w:rPr>
        <w:t>进行了一系列的教学改革，收到了较大成效。但随着医学科学的快速发展，</w:t>
      </w:r>
      <w:r>
        <w:rPr>
          <w:rFonts w:hint="eastAsia" w:ascii="宋体" w:hAnsi="宋体"/>
          <w:sz w:val="24"/>
        </w:rPr>
        <w:t>以往</w:t>
      </w:r>
      <w:r>
        <w:rPr>
          <w:rFonts w:ascii="宋体" w:hAnsi="宋体"/>
          <w:sz w:val="24"/>
        </w:rPr>
        <w:t>的医学教育与人才培养模式已难以适应现代医学发展需求，深化高等医学教育改革，全面提高教学质量，已成为当今高等医学院校的迫切任务。为此，</w:t>
      </w:r>
      <w:r>
        <w:rPr>
          <w:rFonts w:hint="eastAsia" w:ascii="宋体" w:hAnsi="宋体"/>
          <w:sz w:val="24"/>
        </w:rPr>
        <w:t>学院今后将在巩固现有成绩的基础上，</w:t>
      </w:r>
      <w:r>
        <w:rPr>
          <w:rFonts w:ascii="宋体" w:hAnsi="宋体"/>
          <w:sz w:val="24"/>
        </w:rPr>
        <w:t>以</w:t>
      </w:r>
      <w:r>
        <w:rPr>
          <w:rFonts w:hint="eastAsia" w:ascii="宋体" w:hAnsi="宋体"/>
          <w:sz w:val="24"/>
        </w:rPr>
        <w:t>岗位</w:t>
      </w:r>
      <w:r>
        <w:rPr>
          <w:rFonts w:ascii="宋体" w:hAnsi="宋体"/>
          <w:sz w:val="24"/>
        </w:rPr>
        <w:t>胜任能力为导向，加大教学改革力度，培养学生自主学习意识和能力，创新人才培养模式</w:t>
      </w:r>
      <w:r>
        <w:rPr>
          <w:rFonts w:hint="eastAsia" w:ascii="宋体" w:hAnsi="宋体"/>
          <w:sz w:val="24"/>
        </w:rPr>
        <w:t>，切实加强教学工作的综合改革和内涵建设。</w:t>
      </w: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宋体-方正超大字符集">
    <w:altName w:val="宋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Style w:val="9"/>
                            </w:rPr>
                          </w:pPr>
                          <w:r>
                            <w:fldChar w:fldCharType="begin"/>
                          </w:r>
                          <w:r>
                            <w:rPr>
                              <w:rStyle w:val="9"/>
                            </w:rPr>
                            <w:instrText xml:space="preserve">PAGE  </w:instrText>
                          </w:r>
                          <w:r>
                            <w:fldChar w:fldCharType="separate"/>
                          </w:r>
                          <w:r>
                            <w:rPr>
                              <w:rStyle w:val="9"/>
                            </w:rPr>
                            <w:t>2</w:t>
                          </w:r>
                          <w:r>
                            <w:fldChar w:fldCharType="end"/>
                          </w:r>
                        </w:p>
                      </w:txbxContent>
                    </wps:txbx>
                    <wps:bodyPr vert="horz" wrap="none" lIns="0" tIns="0" rIns="0" bIns="0" anchor="t"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2TDMgBAABvAwAADgAAAGRycy9lMm9Eb2MueG1srVPBbhMxEL0j8Q+W&#10;781uViqEVZyqVVWEhACp8AGO185asj2W7WQ3fAD8AScu3PmufAdjJ5vSckO9eGc84zfvzcwur0Zr&#10;yE6GqMExOp/VlEgnoNNuw+iXz3cXC0pi4q7jBpxkdC8jvVq9fLEcfCsb6MF0MhAEcbEdPKN9Sr6t&#10;qih6aXmcgZcOgwqC5QndsKm6wAdEt6Zq6vpVNUDofAAhY8Tb22OQrgq+UlKkj0pFmYhhFLmlcoZy&#10;rvNZrZa83QTuey1ONPh/sLBcOyx6hrrliZNt0P9AWS0CRFBpJsBWoJQWsmhANfP6iZr7nntZtGBz&#10;oj+3KT4frPiw+xSI7hh93VDiuMUZHX58P/z8ffj1jczr5jK3aPCxxcx7j7lpvIERRz3dR7zMykcV&#10;bP6iJoJxbPb+3GA5JiLyo0WzWNQYEhibHMSvHp77ENNbCZZkg9GAEyyN5bv3MR1Tp5RczcGdNqZM&#10;0TgyMPrmEik/iiC4cVgjiziSzVYa1+NJ2Rq6PQrDLcaCPYSvlAy4EYw6XFlKzDuHDc/LMxlhMtaT&#10;wZ3Ah4wmSrY+6E1fFi3TiP56m5Bk4Z4LH6ud+OBUi/rTBua1+dsvWQ//ye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MNkwzIAQAAbwMAAA4AAAAAAAAAAQAgAAAAHgEAAGRycy9lMm9Eb2Mu&#10;eG1sUEsFBgAAAAAGAAYAWQEAAFgFAAAAAA==&#10;">
              <v:fill on="f" focussize="0,0"/>
              <v:stroke on="f"/>
              <v:imagedata o:title=""/>
              <o:lock v:ext="edit" aspectratio="f"/>
              <v:textbox inset="0mm,0mm,0mm,0mm" style="mso-fit-shape-to-text:t;">
                <w:txbxContent>
                  <w:p>
                    <w:pPr>
                      <w:pStyle w:val="5"/>
                      <w:rPr>
                        <w:rStyle w:val="9"/>
                      </w:rPr>
                    </w:pPr>
                    <w:r>
                      <w:fldChar w:fldCharType="begin"/>
                    </w:r>
                    <w:r>
                      <w:rPr>
                        <w:rStyle w:val="9"/>
                      </w:rPr>
                      <w:instrText xml:space="preserve">PAGE  </w:instrText>
                    </w:r>
                    <w:r>
                      <w:fldChar w:fldCharType="separate"/>
                    </w:r>
                    <w:r>
                      <w:rPr>
                        <w:rStyle w:val="9"/>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A2A58"/>
    <w:multiLevelType w:val="singleLevel"/>
    <w:tmpl w:val="500A2A5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4E"/>
    <w:rsid w:val="00006D33"/>
    <w:rsid w:val="0001042A"/>
    <w:rsid w:val="00010837"/>
    <w:rsid w:val="00012DB2"/>
    <w:rsid w:val="00012F0D"/>
    <w:rsid w:val="000150F6"/>
    <w:rsid w:val="00017CA2"/>
    <w:rsid w:val="0002660E"/>
    <w:rsid w:val="0005298A"/>
    <w:rsid w:val="0005348B"/>
    <w:rsid w:val="00060548"/>
    <w:rsid w:val="00073D23"/>
    <w:rsid w:val="000751A4"/>
    <w:rsid w:val="000823B5"/>
    <w:rsid w:val="00094D23"/>
    <w:rsid w:val="000A1CC2"/>
    <w:rsid w:val="000B234D"/>
    <w:rsid w:val="000B28ED"/>
    <w:rsid w:val="000C73E2"/>
    <w:rsid w:val="000D0DD3"/>
    <w:rsid w:val="000D56E5"/>
    <w:rsid w:val="000E315E"/>
    <w:rsid w:val="000E42DC"/>
    <w:rsid w:val="000F11DB"/>
    <w:rsid w:val="00104E97"/>
    <w:rsid w:val="00110CBF"/>
    <w:rsid w:val="00112211"/>
    <w:rsid w:val="001133D3"/>
    <w:rsid w:val="00130EDC"/>
    <w:rsid w:val="00133F4E"/>
    <w:rsid w:val="0015091A"/>
    <w:rsid w:val="00155070"/>
    <w:rsid w:val="00170BA0"/>
    <w:rsid w:val="00170E85"/>
    <w:rsid w:val="00173BEE"/>
    <w:rsid w:val="001740BE"/>
    <w:rsid w:val="00175570"/>
    <w:rsid w:val="001901EA"/>
    <w:rsid w:val="001946AF"/>
    <w:rsid w:val="00197BE9"/>
    <w:rsid w:val="001A17E7"/>
    <w:rsid w:val="001B64DA"/>
    <w:rsid w:val="001B6E6D"/>
    <w:rsid w:val="001B79B6"/>
    <w:rsid w:val="001C1943"/>
    <w:rsid w:val="001E4662"/>
    <w:rsid w:val="001F3E3A"/>
    <w:rsid w:val="001F401F"/>
    <w:rsid w:val="00210179"/>
    <w:rsid w:val="0021025B"/>
    <w:rsid w:val="002133F8"/>
    <w:rsid w:val="002143C0"/>
    <w:rsid w:val="00233931"/>
    <w:rsid w:val="0024399E"/>
    <w:rsid w:val="0024428B"/>
    <w:rsid w:val="00250353"/>
    <w:rsid w:val="002533F9"/>
    <w:rsid w:val="00256004"/>
    <w:rsid w:val="002577E5"/>
    <w:rsid w:val="002605DA"/>
    <w:rsid w:val="00264F5F"/>
    <w:rsid w:val="002766E3"/>
    <w:rsid w:val="00277A45"/>
    <w:rsid w:val="00280FB1"/>
    <w:rsid w:val="0028196B"/>
    <w:rsid w:val="00290C96"/>
    <w:rsid w:val="00296260"/>
    <w:rsid w:val="00296F87"/>
    <w:rsid w:val="002B4874"/>
    <w:rsid w:val="002D3F69"/>
    <w:rsid w:val="002D471B"/>
    <w:rsid w:val="002E60A4"/>
    <w:rsid w:val="002F20BB"/>
    <w:rsid w:val="002F5A22"/>
    <w:rsid w:val="003123ED"/>
    <w:rsid w:val="00325499"/>
    <w:rsid w:val="003254C4"/>
    <w:rsid w:val="00334BF4"/>
    <w:rsid w:val="00341716"/>
    <w:rsid w:val="00345B62"/>
    <w:rsid w:val="00354695"/>
    <w:rsid w:val="00355532"/>
    <w:rsid w:val="00362599"/>
    <w:rsid w:val="003753B3"/>
    <w:rsid w:val="00380F4B"/>
    <w:rsid w:val="003821E0"/>
    <w:rsid w:val="003A3551"/>
    <w:rsid w:val="003A7D8E"/>
    <w:rsid w:val="003B4658"/>
    <w:rsid w:val="003B75F0"/>
    <w:rsid w:val="003C5F1B"/>
    <w:rsid w:val="003D682C"/>
    <w:rsid w:val="003E2829"/>
    <w:rsid w:val="003F6F22"/>
    <w:rsid w:val="004000AB"/>
    <w:rsid w:val="00401659"/>
    <w:rsid w:val="00404594"/>
    <w:rsid w:val="00405D32"/>
    <w:rsid w:val="00406CC5"/>
    <w:rsid w:val="00414624"/>
    <w:rsid w:val="00424F9B"/>
    <w:rsid w:val="00426B87"/>
    <w:rsid w:val="004356B5"/>
    <w:rsid w:val="0044768A"/>
    <w:rsid w:val="00453051"/>
    <w:rsid w:val="00453751"/>
    <w:rsid w:val="004543C6"/>
    <w:rsid w:val="00454641"/>
    <w:rsid w:val="0046136F"/>
    <w:rsid w:val="0047018C"/>
    <w:rsid w:val="00484215"/>
    <w:rsid w:val="004A4501"/>
    <w:rsid w:val="004A79A8"/>
    <w:rsid w:val="004D300F"/>
    <w:rsid w:val="004D3B80"/>
    <w:rsid w:val="004E38DD"/>
    <w:rsid w:val="004E3E35"/>
    <w:rsid w:val="004E5D45"/>
    <w:rsid w:val="004F17A7"/>
    <w:rsid w:val="0050125B"/>
    <w:rsid w:val="00501B9B"/>
    <w:rsid w:val="005125C2"/>
    <w:rsid w:val="005220EA"/>
    <w:rsid w:val="005264B1"/>
    <w:rsid w:val="00527230"/>
    <w:rsid w:val="005302CE"/>
    <w:rsid w:val="0053042D"/>
    <w:rsid w:val="00531D80"/>
    <w:rsid w:val="0054243F"/>
    <w:rsid w:val="00544D0C"/>
    <w:rsid w:val="00546973"/>
    <w:rsid w:val="005543B6"/>
    <w:rsid w:val="00567C85"/>
    <w:rsid w:val="0058167C"/>
    <w:rsid w:val="005841A4"/>
    <w:rsid w:val="00593654"/>
    <w:rsid w:val="005A57EE"/>
    <w:rsid w:val="005B1314"/>
    <w:rsid w:val="005B2E1B"/>
    <w:rsid w:val="005C21D6"/>
    <w:rsid w:val="005C57A8"/>
    <w:rsid w:val="005D2239"/>
    <w:rsid w:val="005E6E30"/>
    <w:rsid w:val="005F2B00"/>
    <w:rsid w:val="005F45BB"/>
    <w:rsid w:val="006355D6"/>
    <w:rsid w:val="00653336"/>
    <w:rsid w:val="006605ED"/>
    <w:rsid w:val="00670164"/>
    <w:rsid w:val="00675283"/>
    <w:rsid w:val="00683C7A"/>
    <w:rsid w:val="006972B7"/>
    <w:rsid w:val="006B662E"/>
    <w:rsid w:val="006C318D"/>
    <w:rsid w:val="006C3663"/>
    <w:rsid w:val="006C7232"/>
    <w:rsid w:val="006D3AEE"/>
    <w:rsid w:val="006E0A84"/>
    <w:rsid w:val="006E1F24"/>
    <w:rsid w:val="006E2B5D"/>
    <w:rsid w:val="00702DB6"/>
    <w:rsid w:val="007118F4"/>
    <w:rsid w:val="00712670"/>
    <w:rsid w:val="00715368"/>
    <w:rsid w:val="00715725"/>
    <w:rsid w:val="00716694"/>
    <w:rsid w:val="00753BC5"/>
    <w:rsid w:val="0075551A"/>
    <w:rsid w:val="00757CB7"/>
    <w:rsid w:val="00760A3C"/>
    <w:rsid w:val="00770BEE"/>
    <w:rsid w:val="0077267A"/>
    <w:rsid w:val="00782964"/>
    <w:rsid w:val="007838ED"/>
    <w:rsid w:val="007908C3"/>
    <w:rsid w:val="007A02D7"/>
    <w:rsid w:val="007A0400"/>
    <w:rsid w:val="007B35FB"/>
    <w:rsid w:val="007B49B6"/>
    <w:rsid w:val="007B6C1B"/>
    <w:rsid w:val="007B6EFF"/>
    <w:rsid w:val="007C2150"/>
    <w:rsid w:val="007C4253"/>
    <w:rsid w:val="007C4295"/>
    <w:rsid w:val="007C6F0A"/>
    <w:rsid w:val="007E5480"/>
    <w:rsid w:val="007F79AA"/>
    <w:rsid w:val="00810E0D"/>
    <w:rsid w:val="00815B68"/>
    <w:rsid w:val="00823F3F"/>
    <w:rsid w:val="0082793F"/>
    <w:rsid w:val="008438FA"/>
    <w:rsid w:val="008540CB"/>
    <w:rsid w:val="00862A59"/>
    <w:rsid w:val="00892A13"/>
    <w:rsid w:val="008A75EA"/>
    <w:rsid w:val="008B19DF"/>
    <w:rsid w:val="008C4352"/>
    <w:rsid w:val="008C52D6"/>
    <w:rsid w:val="008C7249"/>
    <w:rsid w:val="00900A08"/>
    <w:rsid w:val="00904302"/>
    <w:rsid w:val="00930967"/>
    <w:rsid w:val="0094281B"/>
    <w:rsid w:val="00961241"/>
    <w:rsid w:val="00962082"/>
    <w:rsid w:val="009709BA"/>
    <w:rsid w:val="009729D9"/>
    <w:rsid w:val="00975954"/>
    <w:rsid w:val="009B2EAA"/>
    <w:rsid w:val="009C7404"/>
    <w:rsid w:val="009E2438"/>
    <w:rsid w:val="009E3665"/>
    <w:rsid w:val="009E655A"/>
    <w:rsid w:val="00A01C91"/>
    <w:rsid w:val="00A030B3"/>
    <w:rsid w:val="00A034A7"/>
    <w:rsid w:val="00A04052"/>
    <w:rsid w:val="00A050CB"/>
    <w:rsid w:val="00A243D0"/>
    <w:rsid w:val="00A36193"/>
    <w:rsid w:val="00A40AE6"/>
    <w:rsid w:val="00A458A6"/>
    <w:rsid w:val="00A4615B"/>
    <w:rsid w:val="00A5739A"/>
    <w:rsid w:val="00A60974"/>
    <w:rsid w:val="00A62228"/>
    <w:rsid w:val="00A702F5"/>
    <w:rsid w:val="00A72BC2"/>
    <w:rsid w:val="00A75866"/>
    <w:rsid w:val="00A763E0"/>
    <w:rsid w:val="00A77086"/>
    <w:rsid w:val="00A86990"/>
    <w:rsid w:val="00A9576A"/>
    <w:rsid w:val="00AA0019"/>
    <w:rsid w:val="00AA3545"/>
    <w:rsid w:val="00AB059B"/>
    <w:rsid w:val="00AB0676"/>
    <w:rsid w:val="00AB61B9"/>
    <w:rsid w:val="00AC605C"/>
    <w:rsid w:val="00AD2D40"/>
    <w:rsid w:val="00AE2D1B"/>
    <w:rsid w:val="00AE3948"/>
    <w:rsid w:val="00AF6007"/>
    <w:rsid w:val="00B02543"/>
    <w:rsid w:val="00B02A39"/>
    <w:rsid w:val="00B0351C"/>
    <w:rsid w:val="00B3279C"/>
    <w:rsid w:val="00B407C0"/>
    <w:rsid w:val="00B4408B"/>
    <w:rsid w:val="00B45722"/>
    <w:rsid w:val="00B55F7E"/>
    <w:rsid w:val="00B76695"/>
    <w:rsid w:val="00B77332"/>
    <w:rsid w:val="00B85344"/>
    <w:rsid w:val="00B96AF4"/>
    <w:rsid w:val="00BA21D1"/>
    <w:rsid w:val="00BB09BE"/>
    <w:rsid w:val="00BB1974"/>
    <w:rsid w:val="00BB3FE7"/>
    <w:rsid w:val="00BB79F2"/>
    <w:rsid w:val="00BD1806"/>
    <w:rsid w:val="00BD30EF"/>
    <w:rsid w:val="00BD79D0"/>
    <w:rsid w:val="00BE5585"/>
    <w:rsid w:val="00BF1D13"/>
    <w:rsid w:val="00BF35C7"/>
    <w:rsid w:val="00BF4356"/>
    <w:rsid w:val="00BF751C"/>
    <w:rsid w:val="00C1218E"/>
    <w:rsid w:val="00C224F1"/>
    <w:rsid w:val="00C2364B"/>
    <w:rsid w:val="00C30AA6"/>
    <w:rsid w:val="00C32A76"/>
    <w:rsid w:val="00C4160C"/>
    <w:rsid w:val="00C46876"/>
    <w:rsid w:val="00C565EB"/>
    <w:rsid w:val="00C56E87"/>
    <w:rsid w:val="00C725CE"/>
    <w:rsid w:val="00C84D32"/>
    <w:rsid w:val="00CA3048"/>
    <w:rsid w:val="00CA4634"/>
    <w:rsid w:val="00CA50AF"/>
    <w:rsid w:val="00CA521F"/>
    <w:rsid w:val="00CA7D97"/>
    <w:rsid w:val="00CB40AE"/>
    <w:rsid w:val="00CB7FF9"/>
    <w:rsid w:val="00CC604A"/>
    <w:rsid w:val="00CC7445"/>
    <w:rsid w:val="00CF183C"/>
    <w:rsid w:val="00CF21C0"/>
    <w:rsid w:val="00D2459C"/>
    <w:rsid w:val="00D2559C"/>
    <w:rsid w:val="00D41FC0"/>
    <w:rsid w:val="00D513D1"/>
    <w:rsid w:val="00D63BCA"/>
    <w:rsid w:val="00D777B8"/>
    <w:rsid w:val="00D928C9"/>
    <w:rsid w:val="00D96BA4"/>
    <w:rsid w:val="00DB3E95"/>
    <w:rsid w:val="00DB3FB1"/>
    <w:rsid w:val="00DC635A"/>
    <w:rsid w:val="00DD480D"/>
    <w:rsid w:val="00DE53B0"/>
    <w:rsid w:val="00DF7EE8"/>
    <w:rsid w:val="00E00ADD"/>
    <w:rsid w:val="00E021F1"/>
    <w:rsid w:val="00E10DD2"/>
    <w:rsid w:val="00E175BC"/>
    <w:rsid w:val="00E17F5E"/>
    <w:rsid w:val="00E3066A"/>
    <w:rsid w:val="00E34952"/>
    <w:rsid w:val="00E44F9C"/>
    <w:rsid w:val="00E45B67"/>
    <w:rsid w:val="00E557C9"/>
    <w:rsid w:val="00E56A3C"/>
    <w:rsid w:val="00E571A5"/>
    <w:rsid w:val="00E5791A"/>
    <w:rsid w:val="00E62B46"/>
    <w:rsid w:val="00E64B30"/>
    <w:rsid w:val="00E83B34"/>
    <w:rsid w:val="00E914F8"/>
    <w:rsid w:val="00EC64E4"/>
    <w:rsid w:val="00EF2014"/>
    <w:rsid w:val="00EF6D72"/>
    <w:rsid w:val="00F156D9"/>
    <w:rsid w:val="00F2138A"/>
    <w:rsid w:val="00F22B39"/>
    <w:rsid w:val="00F320BE"/>
    <w:rsid w:val="00F4344D"/>
    <w:rsid w:val="00F51E0B"/>
    <w:rsid w:val="00F617FA"/>
    <w:rsid w:val="00F61CA2"/>
    <w:rsid w:val="00FB62EC"/>
    <w:rsid w:val="00FD6294"/>
    <w:rsid w:val="00FE4F29"/>
    <w:rsid w:val="00FF0072"/>
    <w:rsid w:val="03064BFD"/>
    <w:rsid w:val="05317D56"/>
    <w:rsid w:val="058E41BC"/>
    <w:rsid w:val="0C492469"/>
    <w:rsid w:val="0DBF24D3"/>
    <w:rsid w:val="107147BB"/>
    <w:rsid w:val="10C218DB"/>
    <w:rsid w:val="126533E5"/>
    <w:rsid w:val="131B5C21"/>
    <w:rsid w:val="148951C9"/>
    <w:rsid w:val="152E37B3"/>
    <w:rsid w:val="16585365"/>
    <w:rsid w:val="16961860"/>
    <w:rsid w:val="17C85057"/>
    <w:rsid w:val="18D05027"/>
    <w:rsid w:val="19516FA3"/>
    <w:rsid w:val="1A580448"/>
    <w:rsid w:val="1AFE4323"/>
    <w:rsid w:val="1FAC163F"/>
    <w:rsid w:val="207F25C5"/>
    <w:rsid w:val="24900C05"/>
    <w:rsid w:val="270111EA"/>
    <w:rsid w:val="270F387F"/>
    <w:rsid w:val="27AB6B5E"/>
    <w:rsid w:val="2B923A6C"/>
    <w:rsid w:val="2BE309EF"/>
    <w:rsid w:val="2ECE652E"/>
    <w:rsid w:val="2FAD38CE"/>
    <w:rsid w:val="316E3791"/>
    <w:rsid w:val="31F22735"/>
    <w:rsid w:val="32AB36B5"/>
    <w:rsid w:val="35802632"/>
    <w:rsid w:val="35F1313F"/>
    <w:rsid w:val="36137470"/>
    <w:rsid w:val="369E26E7"/>
    <w:rsid w:val="373130DE"/>
    <w:rsid w:val="37A52C51"/>
    <w:rsid w:val="39EF6A0B"/>
    <w:rsid w:val="3A1539B5"/>
    <w:rsid w:val="3B6B1CFA"/>
    <w:rsid w:val="3D177FC7"/>
    <w:rsid w:val="3F611579"/>
    <w:rsid w:val="417747BD"/>
    <w:rsid w:val="428D58A8"/>
    <w:rsid w:val="435B7302"/>
    <w:rsid w:val="45A06DF3"/>
    <w:rsid w:val="45F1062B"/>
    <w:rsid w:val="47792CB3"/>
    <w:rsid w:val="48962B6A"/>
    <w:rsid w:val="4AD40CE4"/>
    <w:rsid w:val="4B490F03"/>
    <w:rsid w:val="4C7A56D9"/>
    <w:rsid w:val="4F0276E3"/>
    <w:rsid w:val="50D224E9"/>
    <w:rsid w:val="51307754"/>
    <w:rsid w:val="5494652E"/>
    <w:rsid w:val="57985B10"/>
    <w:rsid w:val="581A564D"/>
    <w:rsid w:val="58B916E1"/>
    <w:rsid w:val="5A9357E0"/>
    <w:rsid w:val="5B893852"/>
    <w:rsid w:val="5BCD1E3D"/>
    <w:rsid w:val="5EF33E5D"/>
    <w:rsid w:val="5F4D7147"/>
    <w:rsid w:val="5FDA15E4"/>
    <w:rsid w:val="62DF0B10"/>
    <w:rsid w:val="66E11A66"/>
    <w:rsid w:val="672A4FA5"/>
    <w:rsid w:val="6A5968C2"/>
    <w:rsid w:val="6B3154F1"/>
    <w:rsid w:val="6EC00A2D"/>
    <w:rsid w:val="70E95DA9"/>
    <w:rsid w:val="73E06BB8"/>
    <w:rsid w:val="74222E58"/>
    <w:rsid w:val="755661AE"/>
    <w:rsid w:val="76E42901"/>
    <w:rsid w:val="77593EBF"/>
    <w:rsid w:val="787F201D"/>
    <w:rsid w:val="78BE7290"/>
    <w:rsid w:val="7B8D6E72"/>
    <w:rsid w:val="7C157FBD"/>
    <w:rsid w:val="7CAE1E44"/>
    <w:rsid w:val="7CD50A82"/>
    <w:rsid w:val="7D1D30B8"/>
    <w:rsid w:val="7E1D3F2A"/>
    <w:rsid w:val="7F6235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f" stroke="f">
      <v:fill on="f"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3"/>
    <w:basedOn w:val="1"/>
    <w:next w:val="1"/>
    <w:link w:val="19"/>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11">
    <w:name w:val="Normal Table"/>
    <w:unhideWhenUsed/>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Style w:val="11"/>
      <w:tblLayout w:type="fixed"/>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9">
    <w:name w:val="page number"/>
    <w:basedOn w:val="8"/>
    <w:uiPriority w:val="0"/>
  </w:style>
  <w:style w:type="character" w:styleId="10">
    <w:name w:val="Hyperlink"/>
    <w:unhideWhenUsed/>
    <w:uiPriority w:val="0"/>
    <w:rPr>
      <w:color w:val="000000"/>
      <w:u w:val="none"/>
    </w:rPr>
  </w:style>
  <w:style w:type="table" w:styleId="12">
    <w:name w:val="Table Grid"/>
    <w:basedOn w:val="11"/>
    <w:unhideWhenUsed/>
    <w:uiPriority w:val="39"/>
    <w:tblPr>
      <w:tblStyle w:val="1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13">
    <w:name w:val="Default"/>
    <w:uiPriority w:val="0"/>
    <w:pPr>
      <w:widowControl w:val="0"/>
      <w:autoSpaceDE w:val="0"/>
      <w:autoSpaceDN w:val="0"/>
      <w:adjustRightInd w:val="0"/>
    </w:pPr>
    <w:rPr>
      <w:rFonts w:ascii="仿宋" w:eastAsia="仿宋" w:cs="仿宋"/>
      <w:color w:val="000000"/>
      <w:sz w:val="24"/>
      <w:szCs w:val="24"/>
      <w:lang w:val="en-US" w:eastAsia="zh-CN" w:bidi="ar-SA"/>
    </w:rPr>
  </w:style>
  <w:style w:type="paragraph" w:customStyle="1" w:styleId="14">
    <w:name w:val="Char"/>
    <w:basedOn w:val="1"/>
    <w:uiPriority w:val="0"/>
    <w:rPr>
      <w:szCs w:val="20"/>
    </w:rPr>
  </w:style>
  <w:style w:type="paragraph" w:customStyle="1" w:styleId="15">
    <w:name w:val="Char Char Char Char"/>
    <w:basedOn w:val="1"/>
    <w:uiPriority w:val="0"/>
    <w:pPr>
      <w:widowControl/>
      <w:spacing w:after="160" w:afterLines="0" w:line="240" w:lineRule="exact"/>
      <w:jc w:val="left"/>
    </w:pPr>
    <w:rPr>
      <w:szCs w:val="20"/>
    </w:rPr>
  </w:style>
  <w:style w:type="paragraph" w:customStyle="1" w:styleId="16">
    <w:name w:val=" Char"/>
    <w:basedOn w:val="1"/>
    <w:uiPriority w:val="0"/>
    <w:pPr>
      <w:widowControl/>
      <w:spacing w:after="160" w:afterLines="0" w:line="240" w:lineRule="exact"/>
      <w:jc w:val="left"/>
    </w:pPr>
    <w:rPr>
      <w:rFonts w:ascii="Verdana" w:hAnsi="Verdana"/>
      <w:kern w:val="0"/>
      <w:sz w:val="20"/>
      <w:szCs w:val="20"/>
      <w:lang w:eastAsia="en-US"/>
    </w:rPr>
  </w:style>
  <w:style w:type="paragraph" w:customStyle="1" w:styleId="17">
    <w:name w:val=" Char Char Char Char Char Char Char Char Char Char Char Char"/>
    <w:basedOn w:val="1"/>
    <w:uiPriority w:val="0"/>
    <w:pPr>
      <w:widowControl/>
      <w:spacing w:after="160" w:afterLines="0" w:line="240" w:lineRule="exact"/>
      <w:jc w:val="left"/>
    </w:pPr>
    <w:rPr>
      <w:rFonts w:ascii="Calibri" w:hAnsi="Calibri"/>
      <w:szCs w:val="22"/>
    </w:rPr>
  </w:style>
  <w:style w:type="paragraph" w:customStyle="1" w:styleId="18">
    <w:name w:val="p0"/>
    <w:basedOn w:val="1"/>
    <w:uiPriority w:val="0"/>
    <w:pPr>
      <w:widowControl/>
    </w:pPr>
    <w:rPr>
      <w:rFonts w:ascii="Calibri" w:hAnsi="Calibri" w:cs="宋体"/>
      <w:kern w:val="0"/>
      <w:szCs w:val="21"/>
    </w:rPr>
  </w:style>
  <w:style w:type="character" w:customStyle="1" w:styleId="19">
    <w:name w:val="标题 3 Char"/>
    <w:basedOn w:val="8"/>
    <w:link w:val="2"/>
    <w:locked/>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E:\nancy-&#20135;&#20551;&#21518;2017.7.14(&#25918;&#26257;&#20551;&#65289;\&#24180;&#24230;&#36136;&#37327;&#25253;&#21578;\&#31185;&#25216;&#23398;&#38498;-&#23398;&#31185;&#38376;&#3186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700" b="1" i="0" u="none" strike="noStrike" kern="1200" baseline="0">
                <a:solidFill>
                  <a:srgbClr val="002060"/>
                </a:solidFill>
                <a:latin typeface="+mn-lt"/>
                <a:ea typeface="+mn-ea"/>
                <a:cs typeface="+mn-cs"/>
              </a:defRPr>
            </a:pPr>
            <a:r>
              <a:rPr lang="zh-CN" altLang="zh-CN" sz="1700" b="1" i="0" u="none" strike="noStrike" baseline="0">
                <a:effectLst/>
              </a:rPr>
              <a:t>遵义医学院</a:t>
            </a:r>
            <a:r>
              <a:rPr lang="zh-CN" altLang="en-US" sz="1700" b="1" i="0" u="none" strike="noStrike" baseline="0">
                <a:effectLst/>
              </a:rPr>
              <a:t>医学与科技学院</a:t>
            </a:r>
            <a:r>
              <a:rPr lang="zh-CN" altLang="zh-CN" sz="1700" b="1" i="0" u="none" strike="noStrike" baseline="0">
                <a:effectLst/>
              </a:rPr>
              <a:t>专业设置</a:t>
            </a:r>
            <a:endParaRPr lang="en-US" altLang="zh-CN" sz="1700" b="1" i="0" u="none" strike="noStrike" baseline="0">
              <a:effectLst/>
            </a:endParaRPr>
          </a:p>
          <a:p>
            <a:pPr>
              <a:defRPr lang="zh-CN" sz="1700" b="1" i="0" u="none" strike="noStrike" kern="1200" baseline="0">
                <a:solidFill>
                  <a:srgbClr val="002060"/>
                </a:solidFill>
                <a:latin typeface="+mn-lt"/>
                <a:ea typeface="+mn-ea"/>
                <a:cs typeface="+mn-cs"/>
              </a:defRPr>
            </a:pPr>
            <a:r>
              <a:rPr lang="zh-CN" altLang="zh-CN" sz="1700" b="1" i="0" u="none" strike="noStrike" baseline="0">
                <a:effectLst/>
              </a:rPr>
              <a:t>学科门类分布情况</a:t>
            </a:r>
            <a:endParaRPr lang="zh-CN" sz="1700">
              <a:solidFill>
                <a:srgbClr val="002060"/>
              </a:solidFill>
              <a:latin typeface="+mj-ea"/>
              <a:ea typeface="+mj-ea"/>
            </a:endParaRPr>
          </a:p>
        </c:rich>
      </c:tx>
      <c:layout/>
      <c:overlay val="0"/>
    </c:title>
    <c:autoTitleDeleted val="0"/>
    <c:plotArea>
      <c:layout/>
      <c:barChart>
        <c:barDir val="col"/>
        <c:grouping val="clustered"/>
        <c:varyColors val="0"/>
        <c:ser>
          <c:idx val="1"/>
          <c:order val="0"/>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Sheet1!$H$10:$H$15</c:f>
              <c:strCache>
                <c:ptCount val="6"/>
                <c:pt idx="0">
                  <c:v>医学</c:v>
                </c:pt>
                <c:pt idx="1">
                  <c:v>工学</c:v>
                </c:pt>
                <c:pt idx="2">
                  <c:v>管理学</c:v>
                </c:pt>
                <c:pt idx="3">
                  <c:v>教育学</c:v>
                </c:pt>
                <c:pt idx="4">
                  <c:v>理学</c:v>
                </c:pt>
                <c:pt idx="5">
                  <c:v>文学</c:v>
                </c:pt>
              </c:strCache>
            </c:strRef>
          </c:cat>
          <c:val>
            <c:numRef>
              <c:f>Sheet1!$I$10:$I$15</c:f>
              <c:numCache>
                <c:formatCode>0%</c:formatCode>
                <c:ptCount val="6"/>
                <c:pt idx="0">
                  <c:v>0.2</c:v>
                </c:pt>
                <c:pt idx="1">
                  <c:v>0.15</c:v>
                </c:pt>
                <c:pt idx="2">
                  <c:v>0.1</c:v>
                </c:pt>
                <c:pt idx="3">
                  <c:v>0.1</c:v>
                </c:pt>
                <c:pt idx="4">
                  <c:v>0.35</c:v>
                </c:pt>
                <c:pt idx="5">
                  <c:v>0.1</c:v>
                </c:pt>
              </c:numCache>
            </c:numRef>
          </c:val>
        </c:ser>
        <c:dLbls>
          <c:showLegendKey val="0"/>
          <c:showVal val="0"/>
          <c:showCatName val="0"/>
          <c:showSerName val="0"/>
          <c:showPercent val="0"/>
          <c:showBubbleSize val="0"/>
        </c:dLbls>
        <c:gapWidth val="100"/>
        <c:axId val="139973376"/>
        <c:axId val="139976064"/>
      </c:barChart>
      <c:catAx>
        <c:axId val="13997337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9976064"/>
        <c:crosses val="autoZero"/>
        <c:auto val="1"/>
        <c:lblAlgn val="ctr"/>
        <c:lblOffset val="100"/>
        <c:noMultiLvlLbl val="0"/>
      </c:catAx>
      <c:valAx>
        <c:axId val="139976064"/>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9973376"/>
        <c:crosses val="autoZero"/>
        <c:crossBetween val="between"/>
      </c:valAx>
      <c:spPr>
        <a:solidFill>
          <a:schemeClr val="bg1"/>
        </a:solidFill>
        <a:ln>
          <a:noFill/>
        </a:ln>
        <a:effectLst>
          <a:innerShdw blurRad="63500" dist="50800" dir="5400000">
            <a:prstClr val="black">
              <a:alpha val="50000"/>
            </a:prstClr>
          </a:innerShdw>
        </a:effectLst>
      </c:spPr>
    </c:plotArea>
    <c:plotVisOnly val="1"/>
    <c:dispBlanksAs val="gap"/>
    <c:showDLblsOverMax val="0"/>
  </c:chart>
  <c:spPr>
    <a:gradFill>
      <a:gsLst>
        <a:gs pos="0">
          <a:schemeClr val="accent5"/>
        </a:gs>
        <a:gs pos="50000">
          <a:schemeClr val="accent1">
            <a:tint val="44500"/>
            <a:satMod val="160000"/>
          </a:schemeClr>
        </a:gs>
        <a:gs pos="100000">
          <a:schemeClr val="accent1">
            <a:tint val="23500"/>
            <a:satMod val="160000"/>
          </a:schemeClr>
        </a:gs>
      </a:gsLst>
      <a:lin ang="5400000" scaled="0"/>
    </a:gradFill>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17100</Words>
  <Characters>17834</Characters>
  <Lines>160</Lines>
  <Paragraphs>45</Paragraphs>
  <TotalTime>172</TotalTime>
  <ScaleCrop>false</ScaleCrop>
  <LinksUpToDate>false</LinksUpToDate>
  <CharactersWithSpaces>18034</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2017-10-14T02:16:00Z</dcterms:created>
  <dc:creator>微软用户</dc:creator>
  <cp:lastModifiedBy>钟青</cp:lastModifiedBy>
  <cp:lastPrinted>2017-12-18T01:11:00Z</cp:lastPrinted>
  <dcterms:modified xsi:type="dcterms:W3CDTF">2018-11-29T06:16:28Z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